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4B86A" w14:textId="2841BA12" w:rsidR="00B75FCA" w:rsidRPr="00422633" w:rsidRDefault="00422633" w:rsidP="00422633">
      <w:pPr>
        <w:spacing w:after="0" w:line="360" w:lineRule="auto"/>
        <w:jc w:val="center"/>
        <w:rPr>
          <w:rFonts w:ascii="Times New Roman" w:hAnsi="Times New Roman" w:cs="Times New Roman"/>
          <w:b/>
          <w:bCs/>
          <w:sz w:val="28"/>
          <w:szCs w:val="28"/>
        </w:rPr>
      </w:pPr>
      <w:proofErr w:type="spellStart"/>
      <w:r w:rsidRPr="00422633">
        <w:rPr>
          <w:rFonts w:ascii="Times New Roman" w:hAnsi="Times New Roman" w:cs="Times New Roman"/>
          <w:b/>
          <w:bCs/>
          <w:sz w:val="28"/>
          <w:szCs w:val="28"/>
        </w:rPr>
        <w:t>Analisis</w:t>
      </w:r>
      <w:proofErr w:type="spellEnd"/>
      <w:r w:rsidRPr="00422633">
        <w:rPr>
          <w:rFonts w:ascii="Times New Roman" w:hAnsi="Times New Roman" w:cs="Times New Roman"/>
          <w:b/>
          <w:bCs/>
          <w:sz w:val="28"/>
          <w:szCs w:val="28"/>
        </w:rPr>
        <w:t xml:space="preserve"> Faktor-Faktor yang </w:t>
      </w:r>
      <w:proofErr w:type="spellStart"/>
      <w:r w:rsidRPr="00422633">
        <w:rPr>
          <w:rFonts w:ascii="Times New Roman" w:hAnsi="Times New Roman" w:cs="Times New Roman"/>
          <w:b/>
          <w:bCs/>
          <w:sz w:val="28"/>
          <w:szCs w:val="28"/>
        </w:rPr>
        <w:t>Mempengaruhi</w:t>
      </w:r>
      <w:proofErr w:type="spellEnd"/>
      <w:r w:rsidRPr="00422633">
        <w:rPr>
          <w:rFonts w:ascii="Times New Roman" w:hAnsi="Times New Roman" w:cs="Times New Roman"/>
          <w:b/>
          <w:bCs/>
          <w:sz w:val="28"/>
          <w:szCs w:val="28"/>
        </w:rPr>
        <w:t xml:space="preserve"> Keputusan </w:t>
      </w:r>
      <w:proofErr w:type="spellStart"/>
      <w:r w:rsidRPr="00422633">
        <w:rPr>
          <w:rFonts w:ascii="Times New Roman" w:hAnsi="Times New Roman" w:cs="Times New Roman"/>
          <w:b/>
          <w:bCs/>
          <w:sz w:val="28"/>
          <w:szCs w:val="28"/>
        </w:rPr>
        <w:t>Pembelian</w:t>
      </w:r>
      <w:proofErr w:type="spellEnd"/>
      <w:r w:rsidRPr="00422633">
        <w:rPr>
          <w:rFonts w:ascii="Times New Roman" w:hAnsi="Times New Roman" w:cs="Times New Roman"/>
          <w:b/>
          <w:bCs/>
          <w:sz w:val="28"/>
          <w:szCs w:val="28"/>
        </w:rPr>
        <w:t xml:space="preserve"> Kopi </w:t>
      </w:r>
      <w:proofErr w:type="spellStart"/>
      <w:r w:rsidRPr="00422633">
        <w:rPr>
          <w:rFonts w:ascii="Times New Roman" w:hAnsi="Times New Roman" w:cs="Times New Roman"/>
          <w:b/>
          <w:bCs/>
          <w:sz w:val="28"/>
          <w:szCs w:val="28"/>
        </w:rPr>
        <w:t>Keliling</w:t>
      </w:r>
      <w:proofErr w:type="spellEnd"/>
      <w:r w:rsidRPr="00422633">
        <w:rPr>
          <w:rFonts w:ascii="Times New Roman" w:hAnsi="Times New Roman" w:cs="Times New Roman"/>
          <w:b/>
          <w:bCs/>
          <w:sz w:val="28"/>
          <w:szCs w:val="28"/>
        </w:rPr>
        <w:t xml:space="preserve"> di Lombok: </w:t>
      </w:r>
      <w:proofErr w:type="spellStart"/>
      <w:r w:rsidRPr="00422633">
        <w:rPr>
          <w:rFonts w:ascii="Times New Roman" w:hAnsi="Times New Roman" w:cs="Times New Roman"/>
          <w:b/>
          <w:bCs/>
          <w:sz w:val="28"/>
          <w:szCs w:val="28"/>
        </w:rPr>
        <w:t>Pendekatan</w:t>
      </w:r>
      <w:proofErr w:type="spellEnd"/>
      <w:r w:rsidRPr="00422633">
        <w:rPr>
          <w:rFonts w:ascii="Times New Roman" w:hAnsi="Times New Roman" w:cs="Times New Roman"/>
          <w:b/>
          <w:bCs/>
          <w:sz w:val="28"/>
          <w:szCs w:val="28"/>
        </w:rPr>
        <w:t xml:space="preserve"> Theory of Planned Behavior</w:t>
      </w:r>
    </w:p>
    <w:p w14:paraId="1823AAFA" w14:textId="7A547A0A" w:rsidR="00B75FCA" w:rsidRDefault="00C359ED" w:rsidP="00422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F</w:t>
      </w:r>
      <w:r w:rsidR="008C4588">
        <w:rPr>
          <w:rFonts w:ascii="Times New Roman" w:eastAsia="Times New Roman" w:hAnsi="Times New Roman" w:cs="Times New Roman"/>
          <w:b/>
          <w:bCs/>
          <w:sz w:val="24"/>
          <w:szCs w:val="24"/>
        </w:rPr>
        <w:t>ahrul</w:t>
      </w:r>
      <w:proofErr w:type="spellEnd"/>
      <w:r w:rsidR="008C4588">
        <w:rPr>
          <w:rFonts w:ascii="Times New Roman" w:eastAsia="Times New Roman" w:hAnsi="Times New Roman" w:cs="Times New Roman"/>
          <w:b/>
          <w:bCs/>
          <w:sz w:val="24"/>
          <w:szCs w:val="24"/>
        </w:rPr>
        <w:t xml:space="preserve"> </w:t>
      </w:r>
      <w:proofErr w:type="spellStart"/>
      <w:r w:rsidR="008C4588">
        <w:rPr>
          <w:rFonts w:ascii="Times New Roman" w:eastAsia="Times New Roman" w:hAnsi="Times New Roman" w:cs="Times New Roman"/>
          <w:b/>
          <w:bCs/>
          <w:sz w:val="24"/>
          <w:szCs w:val="24"/>
        </w:rPr>
        <w:t>Hudatil</w:t>
      </w:r>
      <w:proofErr w:type="spellEnd"/>
      <w:r w:rsidR="008C4588">
        <w:rPr>
          <w:rFonts w:ascii="Times New Roman" w:eastAsia="Times New Roman" w:hAnsi="Times New Roman" w:cs="Times New Roman"/>
          <w:b/>
          <w:bCs/>
          <w:sz w:val="24"/>
          <w:szCs w:val="24"/>
        </w:rPr>
        <w:t xml:space="preserve"> Atkiyan</w:t>
      </w:r>
      <w:r>
        <w:rPr>
          <w:rFonts w:ascii="Times New Roman" w:eastAsia="Times New Roman" w:hAnsi="Times New Roman" w:cs="Times New Roman"/>
          <w:b/>
          <w:bCs/>
          <w:sz w:val="24"/>
          <w:szCs w:val="24"/>
          <w:vertAlign w:val="superscript"/>
        </w:rPr>
        <w:t>1</w:t>
      </w:r>
    </w:p>
    <w:p w14:paraId="2B6304F3" w14:textId="16A6AD40" w:rsidR="00B75FCA" w:rsidRDefault="00C359ED" w:rsidP="00422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1,3</w:t>
      </w:r>
      <w:r>
        <w:rPr>
          <w:rFonts w:ascii="Times New Roman" w:eastAsia="Times New Roman" w:hAnsi="Times New Roman" w:cs="Times New Roman"/>
        </w:rPr>
        <w:t>A</w:t>
      </w:r>
      <w:r w:rsidR="008C4588">
        <w:rPr>
          <w:rFonts w:ascii="Times New Roman" w:eastAsia="Times New Roman" w:hAnsi="Times New Roman" w:cs="Times New Roman"/>
        </w:rPr>
        <w:t xml:space="preserve">kademi </w:t>
      </w:r>
      <w:proofErr w:type="spellStart"/>
      <w:r w:rsidR="008C4588">
        <w:rPr>
          <w:rFonts w:ascii="Times New Roman" w:eastAsia="Times New Roman" w:hAnsi="Times New Roman" w:cs="Times New Roman"/>
        </w:rPr>
        <w:t>Bisnis</w:t>
      </w:r>
      <w:proofErr w:type="spellEnd"/>
      <w:r w:rsidR="008C4588">
        <w:rPr>
          <w:rFonts w:ascii="Times New Roman" w:eastAsia="Times New Roman" w:hAnsi="Times New Roman" w:cs="Times New Roman"/>
        </w:rPr>
        <w:t xml:space="preserve"> Lombok</w:t>
      </w:r>
      <w:r>
        <w:rPr>
          <w:rFonts w:ascii="Times New Roman" w:eastAsia="Times New Roman" w:hAnsi="Times New Roman" w:cs="Times New Roman"/>
        </w:rPr>
        <w:t xml:space="preserve">, </w:t>
      </w:r>
      <w:r w:rsidR="008C4588">
        <w:rPr>
          <w:rFonts w:ascii="Times New Roman" w:eastAsia="Times New Roman" w:hAnsi="Times New Roman" w:cs="Times New Roman"/>
        </w:rPr>
        <w:t>Indonesia</w:t>
      </w:r>
    </w:p>
    <w:p w14:paraId="10C1A6BC" w14:textId="1C1F9591"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p>
    <w:p w14:paraId="70264692"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p>
    <w:tbl>
      <w:tblPr>
        <w:tblStyle w:val="a"/>
        <w:tblW w:w="9930" w:type="dxa"/>
        <w:tblBorders>
          <w:top w:val="nil"/>
          <w:left w:val="nil"/>
          <w:bottom w:val="nil"/>
          <w:right w:val="nil"/>
          <w:insideH w:val="nil"/>
          <w:insideV w:val="nil"/>
        </w:tblBorders>
        <w:tblLayout w:type="fixed"/>
        <w:tblLook w:val="0600" w:firstRow="0" w:lastRow="0" w:firstColumn="0" w:lastColumn="0" w:noHBand="1" w:noVBand="1"/>
      </w:tblPr>
      <w:tblGrid>
        <w:gridCol w:w="3015"/>
        <w:gridCol w:w="480"/>
        <w:gridCol w:w="6435"/>
      </w:tblGrid>
      <w:tr w:rsidR="00B75FCA" w14:paraId="37E73860" w14:textId="77777777">
        <w:trPr>
          <w:trHeight w:val="285"/>
        </w:trPr>
        <w:tc>
          <w:tcPr>
            <w:tcW w:w="3015" w:type="dxa"/>
            <w:tcBorders>
              <w:top w:val="single" w:sz="8" w:space="0" w:color="000000"/>
              <w:left w:val="nil"/>
              <w:bottom w:val="single" w:sz="8" w:space="0" w:color="000000"/>
              <w:right w:val="nil"/>
            </w:tcBorders>
            <w:tcMar>
              <w:top w:w="0" w:type="dxa"/>
              <w:left w:w="100" w:type="dxa"/>
              <w:bottom w:w="0" w:type="dxa"/>
              <w:right w:w="100" w:type="dxa"/>
            </w:tcMar>
          </w:tcPr>
          <w:p w14:paraId="076E4BCC"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Article Info</w:t>
            </w:r>
          </w:p>
        </w:tc>
        <w:tc>
          <w:tcPr>
            <w:tcW w:w="480" w:type="dxa"/>
            <w:tcBorders>
              <w:top w:val="single" w:sz="8" w:space="0" w:color="000000"/>
              <w:left w:val="nil"/>
              <w:bottom w:val="nil"/>
              <w:right w:val="nil"/>
            </w:tcBorders>
            <w:tcMar>
              <w:top w:w="0" w:type="dxa"/>
              <w:left w:w="100" w:type="dxa"/>
              <w:bottom w:w="0" w:type="dxa"/>
              <w:right w:w="100" w:type="dxa"/>
            </w:tcMar>
          </w:tcPr>
          <w:p w14:paraId="2D5E9538"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single" w:sz="8" w:space="0" w:color="000000"/>
              <w:left w:val="nil"/>
              <w:bottom w:val="single" w:sz="8" w:space="0" w:color="000000"/>
              <w:right w:val="nil"/>
            </w:tcBorders>
            <w:tcMar>
              <w:top w:w="0" w:type="dxa"/>
              <w:left w:w="100" w:type="dxa"/>
              <w:bottom w:w="0" w:type="dxa"/>
              <w:right w:w="100" w:type="dxa"/>
            </w:tcMar>
          </w:tcPr>
          <w:p w14:paraId="208F6375"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Abstract </w:t>
            </w:r>
            <w:r>
              <w:rPr>
                <w:rFonts w:ascii="Times New Roman" w:eastAsia="Times New Roman" w:hAnsi="Times New Roman" w:cs="Times New Roman"/>
                <w:sz w:val="20"/>
                <w:szCs w:val="20"/>
              </w:rPr>
              <w:t>(10 PT)</w:t>
            </w:r>
          </w:p>
        </w:tc>
      </w:tr>
      <w:tr w:rsidR="00B75FCA" w14:paraId="158B7376" w14:textId="77777777">
        <w:trPr>
          <w:trHeight w:val="1080"/>
        </w:trPr>
        <w:tc>
          <w:tcPr>
            <w:tcW w:w="3015" w:type="dxa"/>
            <w:tcBorders>
              <w:top w:val="nil"/>
              <w:left w:val="nil"/>
              <w:bottom w:val="single" w:sz="8" w:space="0" w:color="000000"/>
              <w:right w:val="nil"/>
            </w:tcBorders>
            <w:tcMar>
              <w:top w:w="0" w:type="dxa"/>
              <w:left w:w="100" w:type="dxa"/>
              <w:bottom w:w="0" w:type="dxa"/>
              <w:right w:w="100" w:type="dxa"/>
            </w:tcMar>
          </w:tcPr>
          <w:p w14:paraId="3C6A8F8B"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Article history:</w:t>
            </w:r>
          </w:p>
          <w:p w14:paraId="5F11AB13"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p w14:paraId="43DCE11A"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Publish: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tc>
        <w:tc>
          <w:tcPr>
            <w:tcW w:w="480" w:type="dxa"/>
            <w:vMerge w:val="restart"/>
            <w:tcBorders>
              <w:top w:val="nil"/>
              <w:left w:val="nil"/>
              <w:bottom w:val="nil"/>
              <w:right w:val="nil"/>
            </w:tcBorders>
            <w:tcMar>
              <w:top w:w="0" w:type="dxa"/>
              <w:left w:w="100" w:type="dxa"/>
              <w:bottom w:w="0" w:type="dxa"/>
              <w:right w:w="100" w:type="dxa"/>
            </w:tcMar>
          </w:tcPr>
          <w:p w14:paraId="0BB47D30"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vMerge w:val="restart"/>
            <w:tcBorders>
              <w:top w:val="nil"/>
              <w:left w:val="nil"/>
              <w:bottom w:val="single" w:sz="8" w:space="0" w:color="000000"/>
              <w:right w:val="nil"/>
            </w:tcBorders>
            <w:tcMar>
              <w:top w:w="0" w:type="dxa"/>
              <w:left w:w="100" w:type="dxa"/>
              <w:bottom w:w="0" w:type="dxa"/>
              <w:right w:w="100" w:type="dxa"/>
            </w:tcMar>
          </w:tcPr>
          <w:p w14:paraId="190FFDE2" w14:textId="791B135C" w:rsidR="00B75FCA" w:rsidRPr="00173A3B" w:rsidRDefault="00173A3B" w:rsidP="00173A3B">
            <w:pPr>
              <w:spacing w:line="240" w:lineRule="auto"/>
              <w:jc w:val="both"/>
              <w:rPr>
                <w:rFonts w:ascii="Times New Roman" w:hAnsi="Times New Roman" w:cs="Times New Roman"/>
                <w:sz w:val="20"/>
                <w:szCs w:val="20"/>
              </w:rPr>
            </w:pPr>
            <w:r w:rsidRPr="00843744">
              <w:rPr>
                <w:rFonts w:ascii="Times New Roman" w:hAnsi="Times New Roman" w:cs="Times New Roman"/>
                <w:sz w:val="20"/>
                <w:szCs w:val="20"/>
              </w:rPr>
              <w:t xml:space="preserve">The increasing development of the MSME sector has led to the emergence of new innovations from the community. The phenomenon of mobile coffee vendors is one tangible example of the increasingly modern development of MSMEs. On the island of Lombok, the growth of mobile coffee, especially in the city of </w:t>
            </w:r>
            <w:proofErr w:type="spellStart"/>
            <w:r w:rsidRPr="00843744">
              <w:rPr>
                <w:rFonts w:ascii="Times New Roman" w:hAnsi="Times New Roman" w:cs="Times New Roman"/>
                <w:sz w:val="20"/>
                <w:szCs w:val="20"/>
              </w:rPr>
              <w:t>Mataram</w:t>
            </w:r>
            <w:proofErr w:type="spellEnd"/>
            <w:r w:rsidRPr="00843744">
              <w:rPr>
                <w:rFonts w:ascii="Times New Roman" w:hAnsi="Times New Roman" w:cs="Times New Roman"/>
                <w:sz w:val="20"/>
                <w:szCs w:val="20"/>
              </w:rPr>
              <w:t>, has become a widespread phenomenon. Many mobile coffee brands have emerged, with their numbers even reaching dozens of brands. The variety of mobile coffee products is the main foundation of this research. With the diversity of mobile coffee products that have emerged, this study then attempts to examine the factors that can influence consumer purchasing decisions for mobile coffee products. Using the lens of the theory of planned behavior and adding the brand image variable, the results show that there are two factors that influence consumer purchasing decisions, namely attitude and brand image.</w:t>
            </w:r>
          </w:p>
        </w:tc>
      </w:tr>
      <w:tr w:rsidR="00B75FCA" w14:paraId="5CCC2DC7" w14:textId="77777777">
        <w:trPr>
          <w:trHeight w:val="1395"/>
        </w:trPr>
        <w:tc>
          <w:tcPr>
            <w:tcW w:w="3015" w:type="dxa"/>
            <w:tcBorders>
              <w:top w:val="nil"/>
              <w:left w:val="nil"/>
              <w:bottom w:val="single" w:sz="8" w:space="0" w:color="000000"/>
              <w:right w:val="nil"/>
            </w:tcBorders>
            <w:tcMar>
              <w:top w:w="0" w:type="dxa"/>
              <w:left w:w="100" w:type="dxa"/>
              <w:bottom w:w="0" w:type="dxa"/>
              <w:right w:w="100" w:type="dxa"/>
            </w:tcMar>
          </w:tcPr>
          <w:p w14:paraId="21D93DBA"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Keywords:</w:t>
            </w:r>
          </w:p>
          <w:p w14:paraId="2621C377" w14:textId="78E6CCD1" w:rsidR="00B75FCA" w:rsidRDefault="00173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TPB</w:t>
            </w:r>
            <w:r w:rsidR="00C359ED">
              <w:rPr>
                <w:rFonts w:ascii="Times New Roman" w:eastAsia="Times New Roman" w:hAnsi="Times New Roman" w:cs="Times New Roman"/>
                <w:i/>
                <w:iCs/>
                <w:sz w:val="20"/>
                <w:szCs w:val="20"/>
              </w:rPr>
              <w:t>;</w:t>
            </w:r>
          </w:p>
          <w:p w14:paraId="78547D3A" w14:textId="7191F596" w:rsidR="00B75FCA" w:rsidRDefault="00AA3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attitudes</w:t>
            </w:r>
            <w:r w:rsidR="00C359ED">
              <w:rPr>
                <w:rFonts w:ascii="Times New Roman" w:eastAsia="Times New Roman" w:hAnsi="Times New Roman" w:cs="Times New Roman"/>
                <w:i/>
                <w:iCs/>
                <w:sz w:val="20"/>
                <w:szCs w:val="20"/>
              </w:rPr>
              <w:t>;</w:t>
            </w:r>
          </w:p>
          <w:p w14:paraId="5C550178" w14:textId="13DB5962" w:rsidR="00B75FCA" w:rsidRDefault="00AA3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subjective norms</w:t>
            </w:r>
            <w:r w:rsidR="00C359ED">
              <w:rPr>
                <w:rFonts w:ascii="Times New Roman" w:eastAsia="Times New Roman" w:hAnsi="Times New Roman" w:cs="Times New Roman"/>
                <w:i/>
                <w:iCs/>
                <w:sz w:val="20"/>
                <w:szCs w:val="20"/>
              </w:rPr>
              <w:t>;</w:t>
            </w:r>
          </w:p>
          <w:p w14:paraId="44264BE9" w14:textId="4BC6CB93" w:rsidR="00B75FCA" w:rsidRDefault="00AA3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perceived</w:t>
            </w:r>
            <w:r w:rsidR="006834A6">
              <w:rPr>
                <w:rFonts w:ascii="Times New Roman" w:eastAsia="Times New Roman" w:hAnsi="Times New Roman" w:cs="Times New Roman"/>
                <w:i/>
                <w:iCs/>
                <w:sz w:val="20"/>
                <w:szCs w:val="20"/>
              </w:rPr>
              <w:t xml:space="preserve"> behavioral control</w:t>
            </w:r>
            <w:r w:rsidR="00C359ED">
              <w:rPr>
                <w:rFonts w:ascii="Times New Roman" w:eastAsia="Times New Roman" w:hAnsi="Times New Roman" w:cs="Times New Roman"/>
                <w:i/>
                <w:iCs/>
                <w:sz w:val="20"/>
                <w:szCs w:val="20"/>
              </w:rPr>
              <w:t>;</w:t>
            </w:r>
          </w:p>
          <w:p w14:paraId="0C3AF207" w14:textId="6FC58D49" w:rsidR="00B75FCA" w:rsidRDefault="00683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brand image</w:t>
            </w:r>
            <w:r w:rsidR="00C359ED">
              <w:rPr>
                <w:rFonts w:ascii="Times New Roman" w:eastAsia="Times New Roman" w:hAnsi="Times New Roman" w:cs="Times New Roman"/>
                <w:i/>
                <w:iCs/>
                <w:sz w:val="20"/>
                <w:szCs w:val="20"/>
              </w:rPr>
              <w:t>;</w:t>
            </w:r>
          </w:p>
        </w:tc>
        <w:tc>
          <w:tcPr>
            <w:tcW w:w="480" w:type="dxa"/>
            <w:vMerge/>
            <w:tcBorders>
              <w:top w:val="nil"/>
              <w:left w:val="nil"/>
              <w:bottom w:val="nil"/>
              <w:right w:val="nil"/>
            </w:tcBorders>
            <w:tcMar>
              <w:top w:w="100" w:type="dxa"/>
              <w:left w:w="100" w:type="dxa"/>
              <w:bottom w:w="100" w:type="dxa"/>
              <w:right w:w="100" w:type="dxa"/>
            </w:tcMar>
          </w:tcPr>
          <w:p w14:paraId="4C63BBDA"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c>
          <w:tcPr>
            <w:tcW w:w="6435" w:type="dxa"/>
            <w:vMerge/>
            <w:tcBorders>
              <w:top w:val="nil"/>
              <w:left w:val="nil"/>
              <w:bottom w:val="single" w:sz="8" w:space="0" w:color="000000"/>
              <w:right w:val="nil"/>
            </w:tcBorders>
            <w:tcMar>
              <w:top w:w="100" w:type="dxa"/>
              <w:left w:w="100" w:type="dxa"/>
              <w:bottom w:w="100" w:type="dxa"/>
              <w:right w:w="100" w:type="dxa"/>
            </w:tcMar>
          </w:tcPr>
          <w:p w14:paraId="292A74B6"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r>
      <w:tr w:rsidR="00B75FCA" w14:paraId="77A76E83" w14:textId="77777777">
        <w:trPr>
          <w:trHeight w:val="465"/>
        </w:trPr>
        <w:tc>
          <w:tcPr>
            <w:tcW w:w="3015" w:type="dxa"/>
            <w:tcBorders>
              <w:top w:val="nil"/>
              <w:left w:val="nil"/>
              <w:bottom w:val="single" w:sz="8" w:space="0" w:color="000000"/>
              <w:right w:val="nil"/>
            </w:tcBorders>
            <w:tcMar>
              <w:top w:w="0" w:type="dxa"/>
              <w:left w:w="100" w:type="dxa"/>
              <w:bottom w:w="0" w:type="dxa"/>
              <w:right w:w="100" w:type="dxa"/>
            </w:tcMar>
          </w:tcPr>
          <w:p w14:paraId="200505F5"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p>
        </w:tc>
        <w:tc>
          <w:tcPr>
            <w:tcW w:w="480" w:type="dxa"/>
            <w:tcBorders>
              <w:top w:val="nil"/>
              <w:left w:val="nil"/>
              <w:bottom w:val="nil"/>
              <w:right w:val="nil"/>
            </w:tcBorders>
            <w:tcMar>
              <w:top w:w="0" w:type="dxa"/>
              <w:left w:w="100" w:type="dxa"/>
              <w:bottom w:w="0" w:type="dxa"/>
              <w:right w:w="100" w:type="dxa"/>
            </w:tcMar>
          </w:tcPr>
          <w:p w14:paraId="7BC25999"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nil"/>
              <w:left w:val="nil"/>
              <w:bottom w:val="single" w:sz="8" w:space="0" w:color="000000"/>
              <w:right w:val="nil"/>
            </w:tcBorders>
            <w:tcMar>
              <w:top w:w="0" w:type="dxa"/>
              <w:left w:w="100" w:type="dxa"/>
              <w:bottom w:w="0" w:type="dxa"/>
              <w:right w:w="100" w:type="dxa"/>
            </w:tcMar>
          </w:tcPr>
          <w:p w14:paraId="69F43B5D"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i/>
                <w:iCs/>
                <w:sz w:val="20"/>
                <w:szCs w:val="20"/>
              </w:rPr>
              <w:t>This is an open access article under the</w:t>
            </w:r>
            <w:hyperlink r:id="rId9">
              <w:r>
                <w:rPr>
                  <w:rFonts w:ascii="Times New Roman" w:eastAsia="Times New Roman" w:hAnsi="Times New Roman" w:cs="Times New Roman"/>
                  <w:i/>
                  <w:iCs/>
                  <w:sz w:val="20"/>
                  <w:szCs w:val="20"/>
                </w:rPr>
                <w:t xml:space="preserve"> </w:t>
              </w:r>
            </w:hyperlink>
            <w:hyperlink r:id="rId10">
              <w:proofErr w:type="spellStart"/>
              <w:r>
                <w:rPr>
                  <w:rFonts w:ascii="Times New Roman" w:eastAsia="Times New Roman" w:hAnsi="Times New Roman" w:cs="Times New Roman"/>
                  <w:i/>
                  <w:iCs/>
                  <w:color w:val="1155CC"/>
                  <w:sz w:val="20"/>
                  <w:szCs w:val="20"/>
                  <w:u w:val="single"/>
                </w:rPr>
                <w:t>Lisensi</w:t>
              </w:r>
              <w:proofErr w:type="spellEnd"/>
              <w:r>
                <w:rPr>
                  <w:rFonts w:ascii="Times New Roman" w:eastAsia="Times New Roman" w:hAnsi="Times New Roman" w:cs="Times New Roman"/>
                  <w:i/>
                  <w:iCs/>
                  <w:color w:val="1155CC"/>
                  <w:sz w:val="20"/>
                  <w:szCs w:val="20"/>
                  <w:u w:val="single"/>
                </w:rPr>
                <w:t xml:space="preserve"> Creative Commons </w:t>
              </w:r>
              <w:proofErr w:type="spellStart"/>
              <w:r>
                <w:rPr>
                  <w:rFonts w:ascii="Times New Roman" w:eastAsia="Times New Roman" w:hAnsi="Times New Roman" w:cs="Times New Roman"/>
                  <w:i/>
                  <w:iCs/>
                  <w:color w:val="1155CC"/>
                  <w:sz w:val="20"/>
                  <w:szCs w:val="20"/>
                  <w:u w:val="single"/>
                </w:rPr>
                <w:t>Atribusi-BerbagiSerupa</w:t>
              </w:r>
              <w:proofErr w:type="spellEnd"/>
              <w:r>
                <w:rPr>
                  <w:rFonts w:ascii="Times New Roman" w:eastAsia="Times New Roman" w:hAnsi="Times New Roman" w:cs="Times New Roman"/>
                  <w:i/>
                  <w:iCs/>
                  <w:color w:val="1155CC"/>
                  <w:sz w:val="20"/>
                  <w:szCs w:val="20"/>
                  <w:u w:val="single"/>
                </w:rPr>
                <w:t xml:space="preserve"> 4.0 Internasional</w:t>
              </w:r>
            </w:hyperlink>
          </w:p>
          <w:p w14:paraId="5996577E" w14:textId="77777777" w:rsidR="00B75FCA" w:rsidRDefault="00C359ED">
            <w:pPr>
              <w:spacing w:after="0" w:line="240" w:lineRule="auto"/>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noProof/>
                <w:sz w:val="20"/>
                <w:szCs w:val="20"/>
              </w:rPr>
              <w:drawing>
                <wp:inline distT="0" distB="0" distL="0" distR="0" wp14:anchorId="578DA6E6" wp14:editId="7048B139">
                  <wp:extent cx="838200" cy="297180"/>
                  <wp:effectExtent l="0" t="0" r="0" b="0"/>
                  <wp:docPr id="4" name="image1.png" descr="Lisensi Creative Commons"/>
                  <wp:cNvGraphicFramePr/>
                  <a:graphic xmlns:a="http://schemas.openxmlformats.org/drawingml/2006/main">
                    <a:graphicData uri="http://schemas.openxmlformats.org/drawingml/2006/picture">
                      <pic:pic xmlns:pic="http://schemas.openxmlformats.org/drawingml/2006/picture">
                        <pic:nvPicPr>
                          <pic:cNvPr id="0" name="image1.png" descr="Lisensi Creative Commons"/>
                          <pic:cNvPicPr preferRelativeResize="0"/>
                        </pic:nvPicPr>
                        <pic:blipFill>
                          <a:blip r:embed="rId11"/>
                          <a:srcRect/>
                          <a:stretch>
                            <a:fillRect/>
                          </a:stretch>
                        </pic:blipFill>
                        <pic:spPr>
                          <a:xfrm>
                            <a:off x="0" y="0"/>
                            <a:ext cx="838200" cy="297180"/>
                          </a:xfrm>
                          <a:prstGeom prst="rect">
                            <a:avLst/>
                          </a:prstGeom>
                          <a:ln/>
                        </pic:spPr>
                      </pic:pic>
                    </a:graphicData>
                  </a:graphic>
                </wp:inline>
              </w:drawing>
            </w:r>
          </w:p>
        </w:tc>
      </w:tr>
      <w:tr w:rsidR="00B75FCA" w14:paraId="442A1050" w14:textId="77777777">
        <w:trPr>
          <w:trHeight w:val="1215"/>
        </w:trPr>
        <w:tc>
          <w:tcPr>
            <w:tcW w:w="9930" w:type="dxa"/>
            <w:gridSpan w:val="3"/>
            <w:tcBorders>
              <w:top w:val="nil"/>
              <w:left w:val="nil"/>
              <w:bottom w:val="single" w:sz="8" w:space="0" w:color="000000"/>
              <w:right w:val="nil"/>
            </w:tcBorders>
            <w:tcMar>
              <w:top w:w="0" w:type="dxa"/>
              <w:left w:w="100" w:type="dxa"/>
              <w:bottom w:w="0" w:type="dxa"/>
              <w:right w:w="100" w:type="dxa"/>
            </w:tcMar>
          </w:tcPr>
          <w:p w14:paraId="6D478D73"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Corresponding Author:</w:t>
            </w:r>
          </w:p>
          <w:p w14:paraId="6D0A6A56"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w:t>
            </w:r>
          </w:p>
          <w:p w14:paraId="439E654B"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Noni Antika Khairunnisah</w:t>
            </w:r>
          </w:p>
          <w:p w14:paraId="2EA0D86C"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Akademi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Lombok, Indonesia</w:t>
            </w:r>
          </w:p>
          <w:p w14:paraId="6B9B6978"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proofErr w:type="spellStart"/>
            <w:r>
              <w:rPr>
                <w:rFonts w:ascii="Times New Roman" w:eastAsia="Times New Roman" w:hAnsi="Times New Roman" w:cs="Times New Roman"/>
                <w:sz w:val="20"/>
                <w:szCs w:val="20"/>
              </w:rPr>
              <w:t>Coresspondent</w:t>
            </w:r>
            <w:proofErr w:type="spellEnd"/>
            <w:r>
              <w:rPr>
                <w:rFonts w:ascii="Times New Roman" w:eastAsia="Times New Roman" w:hAnsi="Times New Roman" w:cs="Times New Roman"/>
                <w:sz w:val="20"/>
                <w:szCs w:val="20"/>
              </w:rPr>
              <w:t xml:space="preserve">: </w:t>
            </w:r>
            <w:hyperlink r:id="rId12">
              <w:r>
                <w:rPr>
                  <w:rFonts w:ascii="Times New Roman" w:eastAsia="Times New Roman" w:hAnsi="Times New Roman" w:cs="Times New Roman"/>
                  <w:color w:val="1155CC"/>
                  <w:sz w:val="20"/>
                  <w:szCs w:val="20"/>
                  <w:u w:val="single"/>
                </w:rPr>
                <w:t>contoh@gmail.com</w:t>
              </w:r>
            </w:hyperlink>
            <w:r>
              <w:rPr>
                <w:rFonts w:ascii="Times New Roman" w:eastAsia="Times New Roman" w:hAnsi="Times New Roman" w:cs="Times New Roman"/>
                <w:sz w:val="20"/>
                <w:szCs w:val="20"/>
              </w:rPr>
              <w:t xml:space="preserve"> </w:t>
            </w:r>
          </w:p>
        </w:tc>
      </w:tr>
    </w:tbl>
    <w:p w14:paraId="1CC0A04F"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24D2C8F9"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INTRODUCTION (12 Front)</w:t>
      </w:r>
    </w:p>
    <w:p w14:paraId="4574BCDE" w14:textId="0A36F5F7" w:rsidR="00B75FCA" w:rsidRDefault="00683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kopi di Indonesia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kopi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kafe</w:t>
      </w:r>
      <w:proofErr w:type="spellEnd"/>
      <w:r>
        <w:rPr>
          <w:rFonts w:ascii="Times New Roman" w:hAnsi="Times New Roman" w:cs="Times New Roman"/>
          <w:sz w:val="24"/>
          <w:szCs w:val="24"/>
        </w:rPr>
        <w:t xml:space="preserve"> modern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pada </w:t>
      </w:r>
      <w:proofErr w:type="spellStart"/>
      <w:r>
        <w:rPr>
          <w:rFonts w:ascii="Times New Roman" w:hAnsi="Times New Roman" w:cs="Times New Roman"/>
          <w:sz w:val="24"/>
          <w:szCs w:val="24"/>
        </w:rPr>
        <w:t>usaha-usaha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informal. Dari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menjanjikan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kopi di Indonesia </w:t>
      </w:r>
      <w:proofErr w:type="spellStart"/>
      <w:r>
        <w:rPr>
          <w:rFonts w:ascii="Times New Roman" w:hAnsi="Times New Roman" w:cs="Times New Roman"/>
          <w:sz w:val="24"/>
          <w:szCs w:val="24"/>
        </w:rPr>
        <w:t>menujukkan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Badan Pusat statistic Amalia </w:t>
      </w:r>
      <w:proofErr w:type="spellStart"/>
      <w:r>
        <w:rPr>
          <w:rFonts w:ascii="Times New Roman" w:hAnsi="Times New Roman" w:cs="Times New Roman"/>
          <w:sz w:val="24"/>
          <w:szCs w:val="24"/>
        </w:rPr>
        <w:t>Adininggar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29,82%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US$ 1,15 </w:t>
      </w:r>
      <w:proofErr w:type="spellStart"/>
      <w:r>
        <w:rPr>
          <w:rFonts w:ascii="Times New Roman" w:hAnsi="Times New Roman" w:cs="Times New Roman"/>
          <w:sz w:val="24"/>
          <w:szCs w:val="24"/>
        </w:rPr>
        <w:t>miliar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goodstats.id/article/tidak-mati-akal-gen-z-dan-fenomena-bisnis-kopi-keliling-OgliK","accessed":{"date-parts":[["2026","2","10"]]},"author":[{"dropping-particle":"","family":"Gavrila","given":"Angel","non-dropping-particle":"","parse-names":false,"suffix":""}],"id":"ITEM-1","issued":{"date-parts":[["2025"]]},"title":"Tidak Mati Akal, Melihat Gen Z dalam Fenomena Bisnis Kopi Keliling - GoodStats","type":"webpage"},"uris":["http://www.mendeley.com/documents/?uuid=4a773e2a-da87-321d-84e0-d61328405c36"]}],"mendeley":{"formattedCitation":"(Gavrila, 2025)","plainTextFormattedCitation":"(Gavrila, 2025)","previouslyFormattedCitation":"(Gavrila, 2025)"},"properties":{"noteIndex":0},"schema":"https://github.com/citation-style-language/schema/raw/master/csl-citation.json"}</w:instrText>
      </w:r>
      <w:r>
        <w:rPr>
          <w:rFonts w:ascii="Times New Roman" w:hAnsi="Times New Roman" w:cs="Times New Roman"/>
          <w:sz w:val="24"/>
          <w:szCs w:val="24"/>
        </w:rPr>
        <w:fldChar w:fldCharType="separate"/>
      </w:r>
      <w:r w:rsidRPr="004C1A50">
        <w:rPr>
          <w:rFonts w:ascii="Times New Roman" w:hAnsi="Times New Roman" w:cs="Times New Roman"/>
          <w:noProof/>
          <w:sz w:val="24"/>
          <w:szCs w:val="24"/>
        </w:rPr>
        <w:t>(Gavrila, 2025)</w:t>
      </w:r>
      <w:r>
        <w:rPr>
          <w:rFonts w:ascii="Times New Roman" w:hAnsi="Times New Roman" w:cs="Times New Roman"/>
          <w:sz w:val="24"/>
          <w:szCs w:val="24"/>
        </w:rPr>
        <w:fldChar w:fldCharType="end"/>
      </w:r>
      <w:r w:rsidR="00C359ED">
        <w:rPr>
          <w:rFonts w:ascii="Times New Roman" w:eastAsia="Times New Roman" w:hAnsi="Times New Roman" w:cs="Times New Roman"/>
          <w:sz w:val="24"/>
          <w:szCs w:val="24"/>
        </w:rPr>
        <w:t>.</w:t>
      </w:r>
    </w:p>
    <w:p w14:paraId="41DFF05A" w14:textId="5D3709D1" w:rsidR="006834A6" w:rsidRDefault="00683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Pr>
          <w:rFonts w:ascii="Times New Roman" w:hAnsi="Times New Roman" w:cs="Times New Roman"/>
          <w:sz w:val="24"/>
          <w:szCs w:val="24"/>
        </w:rPr>
        <w:t xml:space="preserve">Di wilayah Lombok,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kopi-kopi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informal,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konsumsi</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terjangkau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{"citationItems":[{"id":"ITEM-1","itemData":{"author":[{"dropping-particle":"","family":"Zahwa","given":"Adinda","non-dropping-particle":"","parse-names":false,"suffix":""},{"dropping-particle":"","family":"Arimbi","given":"Putri Aisyah","non-dropping-particle":"","parse-names":false,"suffix":""},{"dropping-particle":"","family":"dkk","given":"","non-dropping-particle":"","parse-names":false,"suffix":""}],"id":"ITEM-1","issue":"1","issued":{"date-parts":[["2026"]]},"page":"474-478","title":"Analisin efektivitas penjual kopi keliling di depan parkiran uinsu","type":"article-journal","volume":"4"},"uris":["http://www.mendeley.com/documents/?uuid=c08f8652-e337-43b1-aa50-c7d78e8fae7a"]}],"mendeley":{"formattedCitation":"(Zahwa et al., 2026)","plainTextFormattedCitation":"(Zahwa et al., 2026)","previouslyFormattedCitation":"(Zahwa et al., 2026)"},"properties":{"noteIndex":0},"schema":"https://github.com/citation-style-language/schema/raw/master/csl-citation.json"}</w:instrText>
      </w:r>
      <w:r>
        <w:rPr>
          <w:rFonts w:ascii="Times New Roman" w:hAnsi="Times New Roman" w:cs="Times New Roman"/>
          <w:sz w:val="24"/>
          <w:szCs w:val="24"/>
        </w:rPr>
        <w:fldChar w:fldCharType="separate"/>
      </w:r>
      <w:r w:rsidRPr="00764F02">
        <w:rPr>
          <w:rFonts w:ascii="Times New Roman" w:hAnsi="Times New Roman" w:cs="Times New Roman"/>
          <w:noProof/>
          <w:sz w:val="24"/>
          <w:szCs w:val="24"/>
        </w:rPr>
        <w:t>(Zahwa et al., 2026)</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favorit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mengorbankan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{"citationItems":[{"id":"ITEM-1","itemData":{"ISSN":"2597-5234","abstract":"The mobile coffee business is not only seen as a form of innovation in meeting caffeine needs, but also as an economic empowerment model that supports the growth of MSMEs in Surabaya. This research uses a combination of qualitative and descriptive case study methods. Data was collected through in-depth interviews with mobile coffee vendors and distributing questionnaires to consumers, as well as analyzing documentation from social media related to mobile coffee in Surabaya. The results showed that mobile coffee is an option for the younger generation who do not have much time to buy coffee. In addition, mobile coffee also creates economic opportunities for SMEs and enriches the consumption experience through personal interaction between merchants and consumers. The division of territories and transparency of public infrastructure are of particular concern to merchants. Based on these findings, the study recommends the implementation of digital innovations to facilitate ordering and payment, as well as the diversification of mobile coffee products to maintain appeal amid increasingly fierce competition.","author":[{"dropping-particle":"","family":"Amadea","given":"Mizchell Baby","non-dropping-particle":"","parse-names":false,"suffix":""},{"dropping-particle":"","family":"Ariani","given":"Mintarti","non-dropping-particle":"","parse-names":false,"suffix":""},{"dropping-particle":"","family":"Wibowo","given":"Joshi Maharani","non-dropping-particle":"","parse-names":false,"suffix":""}],"container-title":"COSTING: Journal of Economic, Business and Accounting","id":"ITEM-1","issued":{"date-parts":[["2025"]]},"page":"252-263","title":"Analysis of Consumer Behavior of Mobile Coffee As a Modern Lifestyle of the Younger Generation Analisis Perilaku Konsumen Kopi Keliling Sebagai Gaya Hidup Modern Generasi Muda","type":"article-journal","volume":"8"},"uris":["http://www.mendeley.com/documents/?uuid=65ea71ad-dc0d-493b-822d-9476098de1d4"]}],"mendeley":{"formattedCitation":"(Amadea et al., 2025)","plainTextFormattedCitation":"(Amadea et al., 2025)","previouslyFormattedCitation":"(Amadea et al., 2025)"},"properties":{"noteIndex":0},"schema":"https://github.com/citation-style-language/schema/raw/master/csl-citation.json"}</w:instrText>
      </w:r>
      <w:r>
        <w:rPr>
          <w:rFonts w:ascii="Times New Roman" w:hAnsi="Times New Roman" w:cs="Times New Roman"/>
          <w:sz w:val="24"/>
          <w:szCs w:val="24"/>
        </w:rPr>
        <w:fldChar w:fldCharType="separate"/>
      </w:r>
      <w:r w:rsidRPr="00456602">
        <w:rPr>
          <w:rFonts w:ascii="Times New Roman" w:hAnsi="Times New Roman" w:cs="Times New Roman"/>
          <w:noProof/>
          <w:sz w:val="24"/>
          <w:szCs w:val="24"/>
        </w:rPr>
        <w:t>(Amadea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{"citationItems":[{"id":"ITEM-1","itemData":{"ISBN":"9786025346088","author":[{"dropping-particle":"","family":"Malini","given":"Helma","non-dropping-particle":"","parse-names":false,"suffix":""}],"container-title":"Prosiding Seminar Nasional SATIESP","id":"ITEM-1","issued":{"date-parts":[["2021"]]},"page":"978-602","title":"Gaya Konsumsi dan Perilaku Konsumen Generasi Z di Warung Kopi","type":"article-journal"},"uris":["http://www.mendeley.com/documents/?uuid=0a900652-563f-375d-b7f0-966d5f1949c0"]}],"mendeley":{"formattedCitation":"(Malini, 2021)","plainTextFormattedCitation":"(Malini, 2021)","previouslyFormattedCitation":"(Malini, 2021)"},"properties":{"noteIndex":0},"schema":"https://github.com/citation-style-language/schema/raw/master/csl-citation.json"}</w:instrText>
      </w:r>
      <w:r>
        <w:rPr>
          <w:rFonts w:ascii="Times New Roman" w:hAnsi="Times New Roman" w:cs="Times New Roman"/>
          <w:sz w:val="24"/>
          <w:szCs w:val="24"/>
        </w:rPr>
        <w:fldChar w:fldCharType="separate"/>
      </w:r>
      <w:r w:rsidRPr="00456602">
        <w:rPr>
          <w:rFonts w:ascii="Times New Roman" w:hAnsi="Times New Roman" w:cs="Times New Roman"/>
          <w:noProof/>
          <w:sz w:val="24"/>
          <w:szCs w:val="24"/>
        </w:rPr>
        <w:t>(Malini,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bebragai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brand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w:t>
      </w:r>
    </w:p>
    <w:p w14:paraId="40A29C2E" w14:textId="77777777" w:rsidR="006834A6" w:rsidRDefault="006834A6" w:rsidP="00683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dunia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{"citationItems":[{"id":"ITEM-1","itemData":{"DOI":"10.1016/j.heliyon.2022.e10519","ISSN":"24058440","abstract":"Understanding the elements that influence buyers' purchase intentions is critical for real estate companies. The goal of this study is to develop a model for investigating behavioural intentions to purchase apartments in Bangladesh. To obtain the preliminary elements, the Theory of Planned Behaviour (TPB) was used as the underpinning theoretical framework. Other elements relevant to the study context were identified by an extensive literature review, which was subsequently evaluated by industry experts. A systematic questionnaire was used to collect two hundred and thirty-six samples. To find the relevant factors, an exploratory factor analysis (EFA) was used. In addition to the criteria mentioned by the TPB, the results reveal three additional aspects: perceived physical quality, access to money, and favourable government policy. The study contributes to the literature by presenting an extended TPB model suitable for studying behavioural intention to buy apartments in an emerging country.","author":[{"dropping-particle":"","family":"Islam","given":"Muhammad Ariful","non-dropping-particle":"","parse-names":false,"suffix":""},{"dropping-particle":"","family":"Saidin","given":"Zainil Hanim","non-dropping-particle":"","parse-names":false,"suffix":""},{"dropping-particle":"","family":"Ayub","given":"Meor Azli","non-dropping-particle":"","parse-names":false,"suffix":""},{"dropping-particle":"","family":"Islam","given":"Md Shamimul","non-dropping-particle":"","parse-names":false,"suffix":""}],"container-title":"Heliyon","id":"ITEM-1","issue":"9","issued":{"date-parts":[["2022","9","1"]]},"page":"e10519","publisher":"Elsevier","title":"Modelling behavioural intention to buy apartments in Bangladesh: An extended theory of planned behaviour (TPB)","type":"article-journal","volume":"8"},"uris":["http://www.mendeley.com/documents/?uuid=7158a096-634f-369a-92fe-2f54f185bbd5"]}],"mendeley":{"formattedCitation":"(Islam et al., 2022)","plainTextFormattedCitation":"(Islam et al., 2022)","previouslyFormattedCitation":"(Islam et al., 2022)"},"properties":{"noteIndex":0},"schema":"https://github.com/citation-style-language/schema/raw/master/csl-citation.json"}</w:instrText>
      </w:r>
      <w:r>
        <w:rPr>
          <w:rFonts w:ascii="Times New Roman" w:hAnsi="Times New Roman" w:cs="Times New Roman"/>
          <w:sz w:val="24"/>
          <w:szCs w:val="24"/>
        </w:rPr>
        <w:fldChar w:fldCharType="separate"/>
      </w:r>
      <w:r w:rsidRPr="00AC5960">
        <w:rPr>
          <w:rFonts w:ascii="Times New Roman" w:hAnsi="Times New Roman" w:cs="Times New Roman"/>
          <w:noProof/>
          <w:sz w:val="24"/>
          <w:szCs w:val="24"/>
        </w:rPr>
        <w:t>(Islam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TPB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{"citationItems":[{"id":"ITEM-1","itemData":{"DOI":"10.1080/09640568.2020.1785404","ISSN":"13600559","abstract":"This study aims to propose an extended model of the theory of planned behavior (TPB) which helps us to investigate young Chinese consumers from college and university, and who are aged 18 to 30 years, on purchase intention for organic food. Using a sample of 515, analyses were done using structural equation modeling. The findings indicated that attitude (A), subjective norms (SNs), and perceived behavioral control (PBC) have positive effects on the purchase intention of young consumers for organic food. Moreover, attitude has a positive effect on environmental concerns (EC). Furthermore, EC has a positive effect on young consumers’ purchase intentions for organic food. Findings indicated that EC positively mediates the association between attitude and young consumers’ purchase intentions for organic food. More importantly, the relationship between all latent variables (A, SNs, PBC) and purchase intention by young consumers is positively moderated by environmental awareness.","author":[{"dropping-particle":"","family":"Ahmed","given":"Naveed","non-dropping-particle":"","parse-names":false,"suffix":""},{"dropping-particle":"","family":"Li","given":"Cai","non-dropping-particle":"","parse-names":false,"suffix":""},{"dropping-particle":"","family":"Khan","given":"Asadullah","non-dropping-particle":"","parse-names":false,"suffix":""},{"dropping-particle":"","family":"Qalati","given":"Sikandar Ali","non-dropping-particle":"","parse-names":false,"suffix":""},{"dropping-particle":"","family":"Naz","given":"Shumaila","non-dropping-particle":"","parse-names":false,"suffix":""},{"dropping-particle":"","family":"Rana","given":"Faisal","non-dropping-particle":"","parse-names":false,"suffix":""}],"container-title":"Appetite","id":"ITEM-1","issue":"5","issued":{"date-parts":[["2025","10","1"]]},"page":"108142","publisher":"Academic Press","title":"Chinese consumers’ perceptions, attitude, and purchase intention of organic products","type":"article-journal","volume":"214"},"uris":["http://www.mendeley.com/documents/?uuid=1e137682-9c15-30ac-aeb5-e2ea05d8a687"]},{"id":"ITEM-2","itemData":{"DOI":"10.1108/BFJ-09-2020-0874","ISSN":"0007070X","abstract":"Purpose: The gap between the self-declarations of buyers as responsible consumers and the purchase of sustainable products means that consumer knowledge needs to be examined in depth, to guide the initiatives of eco-entrepreneurs towards sectors and demands that will make them viable and to advance responsible production and consumption – Objective 12: Sustainable Development 2030. The purpose of this study is to analyse the profile of consumers in relation to the purchase of ecolabelled products and to establish relations between purchasing decisions with environmental, social and ethical factors. Design/methodology/approach: Multiple correspondence analysis is applied to the results of a questionnaire administered to a sample of 407 consumers resident in Spain. Information is gathered on environmental, social and economic concerns and the importance consumers attach to certain product attributes such as ecolabels, price and quality. Findings: Consumers concerned over environmental, social and economic questions attached greater importance to information on ecolabels, principally within the textile, and drugstore sectors, followed by electrical and electronic appliances and the food sector. These consumers selected ecolabelled products with a good quality–price relationship. Originality/value: The academic and business value of this research is its focus on the attributes of sustainable products so that eco-entrepreneurs may advance initiatives that are at once viable and sustainable, motivating consumers with concerns over environmental, social and economic issues.","author":[{"dropping-particle":"","family":"Calderon-Monge","given":"Esther","non-dropping-particle":"","parse-names":false,"suffix":""},{"dropping-particle":"","family":"Redondo-Rodriguez","given":"Roger Guzman","non-dropping-particle":"","parse-names":false,"suffix":""},{"dropping-particle":"","family":"Ramírez-Hurtado","given":"José M.","non-dropping-particle":"","parse-names":false,"suffix":""}],"container-title":"British Food Journal","id":"ITEM-2","issue":"10","issued":{"date-parts":[["2021","10","21"]]},"page":"3293-3308","publisher":"Emerald Group Holdings Ltd.","title":"Narrowing the gap between consumer purchasing intention and behaviour through ecolabelling: a challenge for eco-entrepreneurism","type":"article-journal","volume":"123"},"uris":["http://www.mendeley.com/documents/?uuid=a75951a3-4f42-37e5-a19d-64af6350d823"]}],"mendeley":{"formattedCitation":"(Ahmed et al., 2025; Calderon-Monge et al., 2021)","plainTextFormattedCitation":"(Ahmed et al., 2025; Calderon-Monge et al., 2021)","previouslyFormattedCitation":"(Ahmed et al., 2025; Calderon-Monge et al., 2021)"},"properties":{"noteIndex":0},"schema":"https://github.com/citation-style-language/schema/raw/master/csl-citation.json"}</w:instrText>
      </w:r>
      <w:r>
        <w:rPr>
          <w:rFonts w:ascii="Times New Roman" w:hAnsi="Times New Roman" w:cs="Times New Roman"/>
          <w:sz w:val="24"/>
          <w:szCs w:val="24"/>
        </w:rPr>
        <w:fldChar w:fldCharType="separate"/>
      </w:r>
      <w:r w:rsidRPr="00541050">
        <w:rPr>
          <w:rFonts w:ascii="Times New Roman" w:hAnsi="Times New Roman" w:cs="Times New Roman"/>
          <w:noProof/>
          <w:sz w:val="24"/>
          <w:szCs w:val="24"/>
        </w:rPr>
        <w:t>(Ahmed et al., 2025; Calderon-Monge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TPB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menyelidiki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dikonsumsi</w:t>
      </w:r>
      <w:proofErr w:type="spellEnd"/>
      <w:r>
        <w:rPr>
          <w:rFonts w:ascii="Times New Roman" w:hAnsi="Times New Roman" w:cs="Times New Roman"/>
          <w:sz w:val="24"/>
          <w:szCs w:val="24"/>
        </w:rPr>
        <w:t xml:space="preserve">. Teori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(TPB)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TPB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kendali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Processes","id":"ITEM-1","issue":"2","issued":{"date-parts":[["1991","12","1"]]},"page":"179-211","publisher":"Academic Press","title":"The theory of planned behavior","type":"article-journal","volume":"50"},"uris":["http://www.mendeley.com/documents/?uuid=06da110e-f0f8-35f3-a967-7f2fc8f52f94"]}],"mendeley":{"formattedCitation":"(Ajzen, 1991)","plainTextFormattedCitation":"(Ajzen, 1991)","previouslyFormattedCitation":"(Ajzen, 1991)"},"properties":{"noteIndex":0},"schema":"https://github.com/citation-style-language/schema/raw/master/csl-citation.json"}</w:instrText>
      </w:r>
      <w:r>
        <w:rPr>
          <w:rFonts w:ascii="Times New Roman" w:hAnsi="Times New Roman" w:cs="Times New Roman"/>
          <w:sz w:val="24"/>
          <w:szCs w:val="24"/>
        </w:rPr>
        <w:fldChar w:fldCharType="separate"/>
      </w:r>
      <w:r w:rsidRPr="00D04B3E">
        <w:rPr>
          <w:rFonts w:ascii="Times New Roman" w:hAnsi="Times New Roman" w:cs="Times New Roman"/>
          <w:noProof/>
          <w:sz w:val="24"/>
          <w:szCs w:val="24"/>
        </w:rPr>
        <w:t>(Ajzen, 1991)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7AFB078" w14:textId="77777777" w:rsidR="006834A6" w:rsidRDefault="006834A6" w:rsidP="00683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proofErr w:type="spellStart"/>
      <w:r>
        <w:rPr>
          <w:rFonts w:ascii="Times New Roman" w:hAnsi="Times New Roman" w:cs="Times New Roman"/>
          <w:sz w:val="24"/>
          <w:szCs w:val="24"/>
        </w:rPr>
        <w:t>Beragamnya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Lombok,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Di Tengah </w:t>
      </w: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(Brand Image)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memperlemah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factor-</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TPB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variable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{"citationItems":[{"id":"ITEM-1","itemData":{"DOI":"10.1504/IJEPEE.2023.136304","ISSN":"17520460","abstract":"Empty truck in backhauling is one of the main problems faced by the land freight transportation system. The idea of sharing logistics, in the form of truck sharing, emerges as extended and inherent needs of sharing economy that contributes to the mobility sharing segment to solve an empty backhauling problem. The purpose of sharing logistics is to decrease transportation costs, maximise utilisation of the truck, and reduce carbon emission. This study aims to provide state of the art of the sharing logistic field of study, current practice, challenges, and future direction of sharing logistics that is generated from sharing economy and shared mobility. We employ depth interviews and survey targeting several small and medium enterprises (SME) in Java Island of Indonesia and large enterprises that practicing mobility sharing for cars and motorcycle. As a result, the usage and application of sharing logistics are currently limited to internal uses of the company, and the barriers to implementing are coming from carriers, consumers, producers, infrastructure, and the environment. This study elaborates those barriers through the fishbone diagram as well as delivers the know-how of sharing logistic works.","author":[{"dropping-particle":"","family":"Mulyono","given":"Nur Budi","non-dropping-particle":"","parse-names":false,"suffix":""},{"dropping-particle":"","family":"Pambudi","given":"Noorhan Firdaus","non-dropping-particle":"","parse-names":false,"suffix":""},{"dropping-particle":"","family":"Larasati","given":"Niken","non-dropping-particle":"","parse-names":false,"suffix":""},{"dropping-particle":"","family":"Hidayat","given":"Isnan","non-dropping-particle":"","parse-names":false,"suffix":""}],"container-title":"International Journal of Economic Policy in Emerging Economies","id":"ITEM-1","issue":"3-4","issued":{"date-parts":[["2023"]]},"page":"398-418","publisher":"Inderscience Publishers","title":"Inherent needs of sharing logistic in mobility sharing transportation system","type":"article-journal","volume":"18"},"uris":["http://www.mendeley.com/documents/?uuid=83604715-f835-33f1-ad28-166122f654d1"]}],"mendeley":{"formattedCitation":"(Mulyono et al., 2023)","manualFormatting":"Mulyono et al., (2023)","plainTextFormattedCitation":"(Mulyono et al., 2023)","previouslyFormattedCitation":"(Mulyono et al., 2023)"},"properties":{"noteIndex":0},"schema":"https://github.com/citation-style-language/schema/raw/master/csl-citation.json"}</w:instrText>
      </w:r>
      <w:r>
        <w:rPr>
          <w:rFonts w:ascii="Times New Roman" w:hAnsi="Times New Roman" w:cs="Times New Roman"/>
          <w:sz w:val="24"/>
          <w:szCs w:val="24"/>
        </w:rPr>
        <w:fldChar w:fldCharType="separate"/>
      </w:r>
      <w:r w:rsidRPr="00BE048D">
        <w:rPr>
          <w:rFonts w:ascii="Times New Roman" w:hAnsi="Times New Roman" w:cs="Times New Roman"/>
          <w:noProof/>
          <w:sz w:val="24"/>
          <w:szCs w:val="24"/>
        </w:rPr>
        <w:t xml:space="preserve">Mulyono et al., </w:t>
      </w:r>
      <w:r>
        <w:rPr>
          <w:rFonts w:ascii="Times New Roman" w:hAnsi="Times New Roman" w:cs="Times New Roman"/>
          <w:noProof/>
          <w:sz w:val="24"/>
          <w:szCs w:val="24"/>
        </w:rPr>
        <w:t>(</w:t>
      </w:r>
      <w:r w:rsidRPr="00BE048D">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manfaatnya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{"citationItems":[{"id":"ITEM-1","itemData":{"DOI":"10.1016/j.jbusres.2020.10.016","ISSN":"01482963","abstract":"This study explores the evolution of Marketing 4.0 and empirically examines its impact on customer satisfaction and purchase intention. Marketing 4.0, an upgrade to the previous Marketing 3.0 model, aims to include the influence of brand interaction in the digital age. This study provides an empirical test of this newer model by analyzing all four of its components with customer satisfaction and purchase intention. Using structural equation modeling to analyze 508 prospective real estate first-time homebuyers, this study evaluates the role of the components of Marketing 4.0 in maximizing customer satisfaction and influencing purchase intentions. Findings indicate that brand identity and brand image are significant factors in determining customer satisfaction and purchase intention. Furthermore, the impact of customer satisfaction on purchase intention is highly significant. Unexpectedly, and counter-intuitively, there was not a significant relationship between brand integrity or brand interaction on customer satisfaction and purchase intention. Considering the study's participants (Gen-Z/Millennial first-time homebuyers) and the international context of the study (the northern Indian real estate market), this study provides important insights into burgeoning international industries and their prime future target market. Furthermore, this study indicates that, a Marketing 4.0 approach that focuses on brand identity and brand image may influence customer satisfaction and, subsequently, increase customers’ purchase intentions.","author":[{"dropping-particle":"","family":"Dash","given":"Ganesh","non-dropping-particle":"","parse-names":false,"suffix":""},{"dropping-particle":"","family":"Kiefer","given":"Kip","non-dropping-particle":"","parse-names":false,"suffix":""},{"dropping-particle":"","family":"Paul","given":"Justin","non-dropping-particle":"","parse-names":false,"suffix":""}],"container-title":"Journal of Business Research","id":"ITEM-1","issued":{"date-parts":[["2021","1","1"]]},"page":"608-620","publisher":"Elsevier","title":"Marketing-to-Millennials: Marketing 4.0, customer satisfaction and purchase intention","type":"article-journal","volume":"122"},"uris":["http://www.mendeley.com/documents/?uuid=489de207-cae6-3d55-80dc-cfeb61849da4"]}],"mendeley":{"formattedCitation":"(Dash et al., 2021)","manualFormatting":"Dash et a (2021)","plainTextFormattedCitation":"(Dash et al., 2021)","previouslyFormattedCitation":"(Dash et al., 2021)"},"properties":{"noteIndex":0},"schema":"https://github.com/citation-style-language/schema/raw/master/csl-citation.json"}</w:instrText>
      </w:r>
      <w:r>
        <w:rPr>
          <w:rFonts w:ascii="Times New Roman" w:hAnsi="Times New Roman" w:cs="Times New Roman"/>
          <w:sz w:val="24"/>
          <w:szCs w:val="24"/>
        </w:rPr>
        <w:fldChar w:fldCharType="separate"/>
      </w:r>
      <w:r w:rsidRPr="005D23B6">
        <w:rPr>
          <w:rFonts w:ascii="Times New Roman" w:hAnsi="Times New Roman" w:cs="Times New Roman"/>
          <w:noProof/>
          <w:sz w:val="24"/>
          <w:szCs w:val="24"/>
        </w:rPr>
        <w:t xml:space="preserve">Dash et a </w:t>
      </w:r>
      <w:r>
        <w:rPr>
          <w:rFonts w:ascii="Times New Roman" w:hAnsi="Times New Roman" w:cs="Times New Roman"/>
          <w:noProof/>
          <w:sz w:val="24"/>
          <w:szCs w:val="24"/>
        </w:rPr>
        <w:t>(</w:t>
      </w:r>
      <w:r w:rsidRPr="005D23B6">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Brand Image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lancer di pasar, </w:t>
      </w:r>
      <w:proofErr w:type="spellStart"/>
      <w:r>
        <w:rPr>
          <w:rFonts w:ascii="Times New Roman" w:hAnsi="Times New Roman" w:cs="Times New Roman"/>
          <w:sz w:val="24"/>
          <w:szCs w:val="24"/>
        </w:rPr>
        <w:t>sejhingga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{"citationItems":[{"id":"ITEM-1","itemData":{"ISSN":"2337-3792","abstract":"This study investigates about the impact of brand awareness, brand image, brand credibility to the mobile phone product purchase intention on Indonesian mobile phone market industry. This study proposes that brand awareness, brand image, brand credibility, significantly affect consumer purchase intention, focusing on several common mobile phone brand that exist and dominate the Indonesian market share mobile phone industry. This study also provides information about mobile phone consumer view on product brand to maintain the brand and raise the purchase intention of the product. A deductive, and quantitative research method using online self-completed questionnaire applied to a target sample of 100 people in Indonesia and domiciled on the Java island (East Java, Central Java, West Java, Banten, DI Yogyakarta, DKI Jakarta). The research adopts multiple regression analysis to examine and analyse the hypothesis related to the connection of brand awareness, brand credibility, and brand image, to purchase intention by data sample about the consumer perspective of mobile phone brand marketing quality on several common mobile phone brands in Indonesia, that be conducted to accomplish the research objectives which are: to fill the gap of research about consumer behaviour in Indonesia, to know the role of brand awareness, to understand the perception of Indonesian customer, to present the relation between brand awareness, brand image, and brand credibility to purchase intention. There are lot of research outside Indonesia that have a main point on brand loyalty that affect purchase intention within mobile phone industry. But unfortunately, there are just a few researches about the relation between the other factors apart from brand loyalty. Research found that the consumer purchase intention affected by its brand awareness, brand credibility, and brand image of the product","author":[{"dropping-particle":"","family":"Rizky","given":"Harjunan","non-dropping-particle":"","parse-names":false,"suffix":""},{"dropping-particle":"","family":"Khrisnanda","given":"Ryan","non-dropping-particle":"","parse-names":false,"suffix":""},{"dropping-particle":"","family":"Made","given":"I","non-dropping-particle":"","parse-names":false,"suffix":""},{"dropping-particle":"","family":"Dirgantara","given":"Bayu","non-dropping-particle":"","parse-names":false,"suffix":""}],"container-title":"Diponegoro Journal of Management","id":"ITEM-1","issue":"2","issued":{"date-parts":[["2021"]]},"publisher":"Faculty of Economics and Business  Diponegoro University","title":"THE EFFECT OF BRAND AWARENESS, BRAND IMAGE, AND BRAND  CREDIBILITY ON OPPO MOBILE PHONE BRAND PRODUCT PURCHASE  INTENTION","type":"article-journal","volume":"10"},"uris":["http://www.mendeley.com/documents/?uuid=e17517c7-e0da-373b-bc9c-f2be3aca7041"]}],"mendeley":{"formattedCitation":"(Rizky et al., 2021)","manualFormatting":"Rizky et al (2021)","plainTextFormattedCitation":"(Rizky et al., 2021)","previouslyFormattedCitation":"(Rizky et al., 2021)"},"properties":{"noteIndex":0},"schema":"https://github.com/citation-style-language/schema/raw/master/csl-citation.json"}</w:instrText>
      </w:r>
      <w:r>
        <w:rPr>
          <w:rFonts w:ascii="Times New Roman" w:hAnsi="Times New Roman" w:cs="Times New Roman"/>
          <w:sz w:val="24"/>
          <w:szCs w:val="24"/>
        </w:rPr>
        <w:fldChar w:fldCharType="separate"/>
      </w:r>
      <w:r w:rsidRPr="00A07AA5">
        <w:rPr>
          <w:rFonts w:ascii="Times New Roman" w:hAnsi="Times New Roman" w:cs="Times New Roman"/>
          <w:noProof/>
          <w:sz w:val="24"/>
          <w:szCs w:val="24"/>
        </w:rPr>
        <w:t>Rizky et al</w:t>
      </w:r>
      <w:r>
        <w:rPr>
          <w:rFonts w:ascii="Times New Roman" w:hAnsi="Times New Roman" w:cs="Times New Roman"/>
          <w:noProof/>
          <w:sz w:val="24"/>
          <w:szCs w:val="24"/>
        </w:rPr>
        <w:t xml:space="preserve"> (</w:t>
      </w:r>
      <w:r w:rsidRPr="00A07AA5">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juga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2A7E6445" w14:textId="5388BC87" w:rsidR="00B75FCA" w:rsidRPr="00471FEE" w:rsidRDefault="006834A6" w:rsidP="00471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kerena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pada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di Lombok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TPB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subjekti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kendali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sidR="00471FEE">
        <w:rPr>
          <w:rFonts w:ascii="Times New Roman" w:hAnsi="Times New Roman" w:cs="Times New Roman"/>
          <w:sz w:val="24"/>
          <w:szCs w:val="24"/>
        </w:rPr>
        <w:t xml:space="preserve"> </w:t>
      </w:r>
      <w:proofErr w:type="spellStart"/>
      <w:r>
        <w:rPr>
          <w:rFonts w:ascii="Times New Roman" w:hAnsi="Times New Roman" w:cs="Times New Roman"/>
          <w:sz w:val="24"/>
          <w:szCs w:val="24"/>
        </w:rPr>
        <w:t>karangka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sidR="00471FEE">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w:t>
      </w:r>
    </w:p>
    <w:p w14:paraId="4DD979D1"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w:t>
      </w:r>
    </w:p>
    <w:p w14:paraId="0BAB9C59" w14:textId="77777777" w:rsidR="00471FEE" w:rsidRDefault="00471FEE" w:rsidP="00471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berlandaskan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filsafat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positivisme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{"citationItems":[{"id":"ITEM-1","itemData":{"ISBN":"979-8433-64-0","abstract":"Seiring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Kata","author":[{"dropping-particle":"","family":"Sugiyono","given":"","non-dropping-particle":"","parse-names":false,"suffix":""}],"container-title":"Alfabeta, CV","id":"ITEM-1","issue":"April","issued":{"date-parts":[["2013"]]},"number-of-pages":"5-24","title":"Metode Penelitian Kuantitatif Dan Kualitatif Serta R&amp;D","type":"book"},"uris":["http://www.mendeley.com/documents/?uuid=5a494158-9954-4b9e-8e58-84c8e636d0b8"]}],"mendeley":{"formattedCitation":"(Sugiyono, 2013)","plainTextFormattedCitation":"(Sugiyono, 2013)","previouslyFormattedCitation":"(Sugiyono, 2013)"},"properties":{"noteIndex":0},"schema":"https://github.com/citation-style-language/schema/raw/master/csl-citation.json"}</w:instrText>
      </w:r>
      <w:r>
        <w:rPr>
          <w:rFonts w:ascii="Times New Roman" w:hAnsi="Times New Roman" w:cs="Times New Roman"/>
          <w:sz w:val="24"/>
          <w:szCs w:val="24"/>
        </w:rPr>
        <w:fldChar w:fldCharType="separate"/>
      </w:r>
      <w:r w:rsidRPr="00961969">
        <w:rPr>
          <w:rFonts w:ascii="Times New Roman" w:hAnsi="Times New Roman" w:cs="Times New Roman"/>
          <w:noProof/>
          <w:sz w:val="24"/>
          <w:szCs w:val="24"/>
        </w:rPr>
        <w:t>(Sugiyono,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(X!),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(X2), Kendala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(X3), dan Citra Merek (X2), dan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(Y).</w:t>
      </w:r>
    </w:p>
    <w:p w14:paraId="16E0936D" w14:textId="77777777" w:rsidR="00CD40A2" w:rsidRDefault="00CD40A2" w:rsidP="00CD4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E-views</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peneltiaan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yang di mana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pengukuran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poin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562"/>
        <w:gridCol w:w="1701"/>
      </w:tblGrid>
      <w:tr w:rsidR="00CD40A2" w14:paraId="41A9D7F3" w14:textId="77777777" w:rsidTr="005C7489">
        <w:trPr>
          <w:jc w:val="center"/>
        </w:trPr>
        <w:tc>
          <w:tcPr>
            <w:tcW w:w="562" w:type="dxa"/>
          </w:tcPr>
          <w:p w14:paraId="23490C52" w14:textId="77777777" w:rsidR="00CD40A2" w:rsidRDefault="00CD40A2" w:rsidP="005C7489">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701" w:type="dxa"/>
          </w:tcPr>
          <w:p w14:paraId="446A6B79" w14:textId="77777777" w:rsidR="00CD40A2" w:rsidRDefault="00CD40A2" w:rsidP="005C748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p>
        </w:tc>
      </w:tr>
      <w:tr w:rsidR="00CD40A2" w14:paraId="3A3DF9E1" w14:textId="77777777" w:rsidTr="005C7489">
        <w:trPr>
          <w:jc w:val="center"/>
        </w:trPr>
        <w:tc>
          <w:tcPr>
            <w:tcW w:w="562" w:type="dxa"/>
          </w:tcPr>
          <w:p w14:paraId="2BCE5AB2" w14:textId="77777777" w:rsidR="00CD40A2" w:rsidRDefault="00CD40A2" w:rsidP="005C748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267A3B34" w14:textId="77777777" w:rsidR="00CD40A2" w:rsidRDefault="00CD40A2" w:rsidP="005C74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Sangat Tidak </w:t>
            </w:r>
            <w:proofErr w:type="spellStart"/>
            <w:r>
              <w:rPr>
                <w:rFonts w:ascii="Times New Roman" w:hAnsi="Times New Roman" w:cs="Times New Roman"/>
                <w:sz w:val="24"/>
                <w:szCs w:val="24"/>
              </w:rPr>
              <w:t>Setuju</w:t>
            </w:r>
            <w:proofErr w:type="spellEnd"/>
          </w:p>
        </w:tc>
      </w:tr>
      <w:tr w:rsidR="00CD40A2" w14:paraId="0E16A04D" w14:textId="77777777" w:rsidTr="005C7489">
        <w:trPr>
          <w:jc w:val="center"/>
        </w:trPr>
        <w:tc>
          <w:tcPr>
            <w:tcW w:w="562" w:type="dxa"/>
          </w:tcPr>
          <w:p w14:paraId="76A80B38" w14:textId="77777777" w:rsidR="00CD40A2" w:rsidRDefault="00CD40A2" w:rsidP="005C748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27C3656C" w14:textId="77777777" w:rsidR="00CD40A2" w:rsidRDefault="00CD40A2" w:rsidP="005C74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Setuju</w:t>
            </w:r>
            <w:proofErr w:type="spellEnd"/>
          </w:p>
        </w:tc>
      </w:tr>
      <w:tr w:rsidR="00CD40A2" w14:paraId="311AF039" w14:textId="77777777" w:rsidTr="005C7489">
        <w:trPr>
          <w:jc w:val="center"/>
        </w:trPr>
        <w:tc>
          <w:tcPr>
            <w:tcW w:w="562" w:type="dxa"/>
          </w:tcPr>
          <w:p w14:paraId="15106911" w14:textId="77777777" w:rsidR="00CD40A2" w:rsidRDefault="00CD40A2" w:rsidP="005C748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319B6268" w14:textId="77777777" w:rsidR="00CD40A2" w:rsidRDefault="00CD40A2" w:rsidP="005C748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Netral</w:t>
            </w:r>
            <w:proofErr w:type="spellEnd"/>
          </w:p>
        </w:tc>
      </w:tr>
      <w:tr w:rsidR="00CD40A2" w14:paraId="6F376F1D" w14:textId="77777777" w:rsidTr="005C7489">
        <w:trPr>
          <w:jc w:val="center"/>
        </w:trPr>
        <w:tc>
          <w:tcPr>
            <w:tcW w:w="562" w:type="dxa"/>
          </w:tcPr>
          <w:p w14:paraId="717E7646" w14:textId="77777777" w:rsidR="00CD40A2" w:rsidRDefault="00CD40A2" w:rsidP="005C748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1B8C44C8" w14:textId="77777777" w:rsidR="00CD40A2" w:rsidRDefault="00CD40A2" w:rsidP="005C748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p>
        </w:tc>
      </w:tr>
      <w:tr w:rsidR="00CD40A2" w14:paraId="2D07148F" w14:textId="77777777" w:rsidTr="005C7489">
        <w:trPr>
          <w:jc w:val="center"/>
        </w:trPr>
        <w:tc>
          <w:tcPr>
            <w:tcW w:w="562" w:type="dxa"/>
          </w:tcPr>
          <w:p w14:paraId="3CAEB029" w14:textId="77777777" w:rsidR="00CD40A2" w:rsidRDefault="00CD40A2" w:rsidP="005C748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14A8DBDB" w14:textId="77777777" w:rsidR="00CD40A2" w:rsidRDefault="00CD40A2" w:rsidP="005C74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Setuju</w:t>
            </w:r>
            <w:proofErr w:type="spellEnd"/>
          </w:p>
        </w:tc>
      </w:tr>
    </w:tbl>
    <w:p w14:paraId="44098E35" w14:textId="6206F895" w:rsidR="00CD40A2" w:rsidRDefault="00CD40A2" w:rsidP="00CD4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Lombok.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mengefisiensikan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Sampel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r w:rsidR="00317403">
        <w:rPr>
          <w:rFonts w:ascii="Times New Roman" w:hAnsi="Times New Roman" w:cs="Times New Roman"/>
          <w:sz w:val="24"/>
          <w:szCs w:val="24"/>
        </w:rPr>
        <w:t>100</w:t>
      </w:r>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peryataan</w:t>
      </w:r>
      <w:proofErr w:type="spellEnd"/>
      <w:r>
        <w:rPr>
          <w:rFonts w:ascii="Times New Roman" w:hAnsi="Times New Roman" w:cs="Times New Roman"/>
          <w:sz w:val="24"/>
          <w:szCs w:val="24"/>
        </w:rPr>
        <w:t xml:space="preserve"> Roscoe (1975) yang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ideal </w:t>
      </w:r>
      <w:proofErr w:type="spellStart"/>
      <w:r>
        <w:rPr>
          <w:rFonts w:ascii="Times New Roman" w:hAnsi="Times New Roman" w:cs="Times New Roman"/>
          <w:sz w:val="24"/>
          <w:szCs w:val="24"/>
        </w:rPr>
        <w:t>berukuran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500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9781119266846","author":[{"dropping-particle":"","family":"Sekaran","given":"Umar","non-dropping-particle":"","parse-names":false,"suffix":""},{"dropping-particle":"","family":"Bougie","given":"Roger","non-dropping-particle":"","parse-names":false,"suffix":""}],"edition":"7","id":"ITEM-1","issued":{"date-parts":[["2016"]]},"title":"Research Methods for Business","type":"book"},"uris":["http://www.mendeley.com/documents/?uuid=57a1c651-26eb-4a72-be35-a02fffa8e5fe"]}],"mendeley":{"formattedCitation":"(Sekaran &amp; Bougie, 2016)","plainTextFormattedCitation":"(Sekaran &amp; Bougie, 2016)","previouslyFormattedCitation":"(Sekaran &amp; Bougie, 2016)"},"properties":{"noteIndex":0},"schema":"https://github.com/citation-style-language/schema/raw/master/csl-citation.json"}</w:instrText>
      </w:r>
      <w:r>
        <w:rPr>
          <w:rFonts w:ascii="Times New Roman" w:hAnsi="Times New Roman" w:cs="Times New Roman"/>
          <w:sz w:val="24"/>
          <w:szCs w:val="24"/>
        </w:rPr>
        <w:fldChar w:fldCharType="separate"/>
      </w:r>
      <w:r w:rsidRPr="00734FE0">
        <w:rPr>
          <w:rFonts w:ascii="Times New Roman" w:hAnsi="Times New Roman" w:cs="Times New Roman"/>
          <w:noProof/>
          <w:sz w:val="24"/>
          <w:szCs w:val="24"/>
        </w:rPr>
        <w:t>(Sekaran &amp; Bougie, 2016)</w:t>
      </w:r>
      <w:r>
        <w:rPr>
          <w:rFonts w:ascii="Times New Roman" w:hAnsi="Times New Roman" w:cs="Times New Roman"/>
          <w:sz w:val="24"/>
          <w:szCs w:val="24"/>
        </w:rPr>
        <w:fldChar w:fldCharType="end"/>
      </w:r>
      <w:r>
        <w:rPr>
          <w:rFonts w:ascii="Times New Roman" w:hAnsi="Times New Roman" w:cs="Times New Roman"/>
          <w:sz w:val="24"/>
          <w:szCs w:val="24"/>
        </w:rPr>
        <w:t>.</w:t>
      </w:r>
    </w:p>
    <w:p w14:paraId="2F66A57E" w14:textId="77777777" w:rsidR="00B75FCA" w:rsidRDefault="00B75FCA" w:rsidP="00A26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p>
    <w:p w14:paraId="0FE7B1A3"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bCs/>
          <w:color w:val="1F1F1F"/>
          <w:sz w:val="24"/>
          <w:szCs w:val="24"/>
          <w:shd w:val="clear" w:color="auto" w:fill="F8F9FA"/>
        </w:rPr>
        <w:t xml:space="preserve">RESULTS AND DISCUSSION </w:t>
      </w:r>
      <w:r>
        <w:rPr>
          <w:rFonts w:ascii="Times New Roman" w:eastAsia="Times New Roman" w:hAnsi="Times New Roman" w:cs="Times New Roman"/>
          <w:b/>
          <w:bCs/>
          <w:sz w:val="24"/>
          <w:szCs w:val="24"/>
        </w:rPr>
        <w:t>(12 PT)</w:t>
      </w:r>
    </w:p>
    <w:p w14:paraId="3AACA0FD" w14:textId="0BA8E121" w:rsidR="00317403" w:rsidRDefault="00317403"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Hasil </w:t>
      </w:r>
      <w:proofErr w:type="spellStart"/>
      <w:r>
        <w:rPr>
          <w:rFonts w:ascii="Times New Roman" w:eastAsia="Times New Roman" w:hAnsi="Times New Roman" w:cs="Times New Roman"/>
          <w:b/>
          <w:bCs/>
          <w:sz w:val="24"/>
          <w:szCs w:val="24"/>
        </w:rPr>
        <w:t>Analisis</w:t>
      </w:r>
      <w:proofErr w:type="spellEnd"/>
      <w:r>
        <w:rPr>
          <w:rFonts w:ascii="Times New Roman" w:eastAsia="Times New Roman" w:hAnsi="Times New Roman" w:cs="Times New Roman"/>
          <w:b/>
          <w:bCs/>
          <w:sz w:val="24"/>
          <w:szCs w:val="24"/>
        </w:rPr>
        <w:t xml:space="preserve"> Data</w:t>
      </w:r>
    </w:p>
    <w:p w14:paraId="4633A473" w14:textId="5E88309C" w:rsidR="00317403" w:rsidRPr="00257968" w:rsidRDefault="00317403"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sidRPr="00257968">
        <w:rPr>
          <w:rFonts w:ascii="Times New Roman" w:eastAsia="Times New Roman" w:hAnsi="Times New Roman" w:cs="Times New Roman"/>
          <w:b/>
          <w:bCs/>
          <w:sz w:val="24"/>
          <w:szCs w:val="24"/>
        </w:rPr>
        <w:t xml:space="preserve">Uji </w:t>
      </w:r>
      <w:proofErr w:type="spellStart"/>
      <w:r w:rsidRPr="00257968">
        <w:rPr>
          <w:rFonts w:ascii="Times New Roman" w:eastAsia="Times New Roman" w:hAnsi="Times New Roman" w:cs="Times New Roman"/>
          <w:b/>
          <w:bCs/>
          <w:sz w:val="24"/>
          <w:szCs w:val="24"/>
        </w:rPr>
        <w:t>Multikoleniaritas</w:t>
      </w:r>
      <w:proofErr w:type="spellEnd"/>
    </w:p>
    <w:p w14:paraId="61FFC4B2" w14:textId="77777777" w:rsidR="00317403" w:rsidRDefault="00317403" w:rsidP="00317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multikoleniaritas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multikoleniaritas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statistic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multikoleniaritas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variance inflation factor (VIF). Hasil uji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D7D523C" w14:textId="56598743" w:rsidR="00456471" w:rsidRDefault="00456471" w:rsidP="00317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4"/>
          <w:szCs w:val="24"/>
        </w:rPr>
      </w:pPr>
      <w:r w:rsidRPr="00941215">
        <w:rPr>
          <w:noProof/>
        </w:rPr>
        <w:drawing>
          <wp:inline distT="0" distB="0" distL="0" distR="0" wp14:anchorId="43A6F27A" wp14:editId="76B103B0">
            <wp:extent cx="3303905" cy="1393825"/>
            <wp:effectExtent l="0" t="0" r="0" b="0"/>
            <wp:docPr id="63436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905" cy="1393825"/>
                    </a:xfrm>
                    <a:prstGeom prst="rect">
                      <a:avLst/>
                    </a:prstGeom>
                    <a:noFill/>
                    <a:ln>
                      <a:noFill/>
                    </a:ln>
                  </pic:spPr>
                </pic:pic>
              </a:graphicData>
            </a:graphic>
          </wp:inline>
        </w:drawing>
      </w:r>
    </w:p>
    <w:p w14:paraId="3E592821" w14:textId="3A968E52" w:rsidR="00456471" w:rsidRDefault="00456471" w:rsidP="00317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hAnsi="Times New Roman" w:cs="Times New Roman"/>
          <w:sz w:val="20"/>
          <w:szCs w:val="20"/>
        </w:rPr>
      </w:pPr>
      <w:proofErr w:type="spellStart"/>
      <w:r w:rsidRPr="00456471">
        <w:rPr>
          <w:rFonts w:ascii="Times New Roman" w:hAnsi="Times New Roman" w:cs="Times New Roman"/>
          <w:sz w:val="20"/>
          <w:szCs w:val="20"/>
        </w:rPr>
        <w:t>Sumber</w:t>
      </w:r>
      <w:proofErr w:type="spellEnd"/>
      <w:r w:rsidRPr="00456471">
        <w:rPr>
          <w:rFonts w:ascii="Times New Roman" w:hAnsi="Times New Roman" w:cs="Times New Roman"/>
          <w:sz w:val="20"/>
          <w:szCs w:val="20"/>
        </w:rPr>
        <w:t xml:space="preserve">: Hasil Olah Data </w:t>
      </w:r>
      <w:proofErr w:type="spellStart"/>
      <w:r w:rsidRPr="00456471">
        <w:rPr>
          <w:rFonts w:ascii="Times New Roman" w:hAnsi="Times New Roman" w:cs="Times New Roman"/>
          <w:sz w:val="20"/>
          <w:szCs w:val="20"/>
        </w:rPr>
        <w:t>Evies</w:t>
      </w:r>
      <w:proofErr w:type="spellEnd"/>
    </w:p>
    <w:p w14:paraId="48C338CE" w14:textId="48E9B1E8" w:rsidR="00456471"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multikoleniaritas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VIF </w:t>
      </w:r>
      <w:proofErr w:type="spellStart"/>
      <w:r>
        <w:rPr>
          <w:rFonts w:ascii="Times New Roman" w:hAnsi="Times New Roman" w:cs="Times New Roman"/>
          <w:sz w:val="24"/>
          <w:szCs w:val="24"/>
        </w:rPr>
        <w:t>Independennya</w:t>
      </w:r>
      <w:proofErr w:type="spellEnd"/>
      <w:r>
        <w:rPr>
          <w:rFonts w:ascii="Times New Roman" w:hAnsi="Times New Roman" w:cs="Times New Roman"/>
          <w:sz w:val="24"/>
          <w:szCs w:val="24"/>
        </w:rPr>
        <w:t xml:space="preserve"> &lt;10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aumsi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multikoleniaritas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lolos uji </w:t>
      </w:r>
      <w:proofErr w:type="spellStart"/>
      <w:r>
        <w:rPr>
          <w:rFonts w:ascii="Times New Roman" w:hAnsi="Times New Roman" w:cs="Times New Roman"/>
          <w:sz w:val="24"/>
          <w:szCs w:val="24"/>
        </w:rPr>
        <w:t>multikoleniaritas</w:t>
      </w:r>
      <w:proofErr w:type="spellEnd"/>
      <w:r>
        <w:rPr>
          <w:rFonts w:ascii="Times New Roman" w:hAnsi="Times New Roman" w:cs="Times New Roman"/>
          <w:sz w:val="24"/>
          <w:szCs w:val="24"/>
        </w:rPr>
        <w:t>.</w:t>
      </w:r>
    </w:p>
    <w:p w14:paraId="44AAA17D" w14:textId="77777777" w:rsidR="00456471"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2909E156" w14:textId="77777777" w:rsidR="00456471"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24C4326E" w14:textId="77777777" w:rsidR="00456471"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61CFE362" w14:textId="77777777" w:rsidR="00456471"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2F30761F" w14:textId="671B1C8B" w:rsidR="00456471" w:rsidRPr="00257968"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r w:rsidRPr="00257968">
        <w:rPr>
          <w:rFonts w:ascii="Times New Roman" w:hAnsi="Times New Roman" w:cs="Times New Roman"/>
          <w:b/>
          <w:bCs/>
          <w:sz w:val="24"/>
          <w:szCs w:val="24"/>
        </w:rPr>
        <w:lastRenderedPageBreak/>
        <w:t xml:space="preserve">Uji </w:t>
      </w:r>
      <w:proofErr w:type="spellStart"/>
      <w:r w:rsidRPr="00257968">
        <w:rPr>
          <w:rFonts w:ascii="Times New Roman" w:hAnsi="Times New Roman" w:cs="Times New Roman"/>
          <w:b/>
          <w:bCs/>
          <w:sz w:val="24"/>
          <w:szCs w:val="24"/>
        </w:rPr>
        <w:t>Normalitas</w:t>
      </w:r>
      <w:proofErr w:type="spellEnd"/>
    </w:p>
    <w:p w14:paraId="01FBF4CF" w14:textId="0C7BDE96" w:rsidR="00456471"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r w:rsidRPr="00A737FE">
        <w:rPr>
          <w:rFonts w:ascii="Times New Roman" w:hAnsi="Times New Roman" w:cs="Times New Roman"/>
          <w:sz w:val="24"/>
          <w:szCs w:val="24"/>
        </w:rPr>
        <w:t xml:space="preserve">Uji </w:t>
      </w:r>
      <w:proofErr w:type="spellStart"/>
      <w:r w:rsidRPr="00A737FE">
        <w:rPr>
          <w:rFonts w:ascii="Times New Roman" w:hAnsi="Times New Roman" w:cs="Times New Roman"/>
          <w:sz w:val="24"/>
          <w:szCs w:val="24"/>
        </w:rPr>
        <w:t>normalitas</w:t>
      </w:r>
      <w:proofErr w:type="spellEnd"/>
      <w:r w:rsidRPr="00A737FE">
        <w:rPr>
          <w:rFonts w:ascii="Times New Roman" w:hAnsi="Times New Roman" w:cs="Times New Roman"/>
          <w:sz w:val="24"/>
          <w:szCs w:val="24"/>
        </w:rPr>
        <w:t xml:space="preserve"> </w:t>
      </w:r>
      <w:proofErr w:type="spellStart"/>
      <w:r w:rsidRPr="00A737FE">
        <w:rPr>
          <w:rFonts w:ascii="Times New Roman" w:hAnsi="Times New Roman" w:cs="Times New Roman"/>
          <w:sz w:val="24"/>
          <w:szCs w:val="24"/>
        </w:rPr>
        <w:t>adalah</w:t>
      </w:r>
      <w:proofErr w:type="spellEnd"/>
      <w:r w:rsidRPr="00A737FE">
        <w:rPr>
          <w:rFonts w:ascii="Times New Roman" w:hAnsi="Times New Roman" w:cs="Times New Roman"/>
          <w:sz w:val="24"/>
          <w:szCs w:val="24"/>
        </w:rPr>
        <w:t xml:space="preserve"> </w:t>
      </w:r>
      <w:proofErr w:type="spellStart"/>
      <w:r w:rsidRPr="00A737FE">
        <w:rPr>
          <w:rFonts w:ascii="Times New Roman" w:hAnsi="Times New Roman" w:cs="Times New Roman"/>
          <w:sz w:val="24"/>
          <w:szCs w:val="24"/>
        </w:rPr>
        <w:t>untuk</w:t>
      </w:r>
      <w:proofErr w:type="spellEnd"/>
      <w:r w:rsidRPr="00A737FE">
        <w:rPr>
          <w:rFonts w:ascii="Times New Roman" w:hAnsi="Times New Roman" w:cs="Times New Roman"/>
          <w:sz w:val="24"/>
          <w:szCs w:val="24"/>
        </w:rPr>
        <w:t xml:space="preserve"> </w:t>
      </w:r>
      <w:proofErr w:type="spellStart"/>
      <w:r w:rsidRPr="00A737FE">
        <w:rPr>
          <w:rFonts w:ascii="Times New Roman" w:hAnsi="Times New Roman" w:cs="Times New Roman"/>
          <w:sz w:val="24"/>
          <w:szCs w:val="24"/>
        </w:rPr>
        <w:t>melihat</w:t>
      </w:r>
      <w:proofErr w:type="spellEnd"/>
      <w:r w:rsidRPr="00A737FE">
        <w:rPr>
          <w:rFonts w:ascii="Times New Roman" w:hAnsi="Times New Roman" w:cs="Times New Roman"/>
          <w:sz w:val="24"/>
          <w:szCs w:val="24"/>
        </w:rPr>
        <w:t xml:space="preserve"> </w:t>
      </w:r>
      <w:proofErr w:type="spellStart"/>
      <w:r w:rsidRPr="00A737FE">
        <w:rPr>
          <w:rFonts w:ascii="Times New Roman" w:hAnsi="Times New Roman" w:cs="Times New Roman"/>
          <w:sz w:val="24"/>
          <w:szCs w:val="24"/>
        </w:rPr>
        <w:t>apakah</w:t>
      </w:r>
      <w:proofErr w:type="spellEnd"/>
      <w:r w:rsidRPr="00A737FE">
        <w:rPr>
          <w:rFonts w:ascii="Times New Roman" w:hAnsi="Times New Roman" w:cs="Times New Roman"/>
          <w:sz w:val="24"/>
          <w:szCs w:val="24"/>
        </w:rPr>
        <w:t xml:space="preserve"> </w:t>
      </w:r>
      <w:proofErr w:type="spellStart"/>
      <w:r w:rsidRPr="00A737FE">
        <w:rPr>
          <w:rFonts w:ascii="Times New Roman" w:hAnsi="Times New Roman" w:cs="Times New Roman"/>
          <w:sz w:val="24"/>
          <w:szCs w:val="24"/>
        </w:rPr>
        <w:t>nilai</w:t>
      </w:r>
      <w:proofErr w:type="spellEnd"/>
      <w:r w:rsidRPr="00A737FE">
        <w:rPr>
          <w:rFonts w:ascii="Times New Roman" w:hAnsi="Times New Roman" w:cs="Times New Roman"/>
          <w:sz w:val="24"/>
          <w:szCs w:val="24"/>
        </w:rPr>
        <w:t xml:space="preserve"> </w:t>
      </w:r>
      <w:proofErr w:type="spellStart"/>
      <w:r w:rsidRPr="00A737FE">
        <w:rPr>
          <w:rFonts w:ascii="Times New Roman" w:hAnsi="Times New Roman" w:cs="Times New Roman"/>
          <w:sz w:val="24"/>
          <w:szCs w:val="24"/>
        </w:rPr>
        <w:t>residu</w:t>
      </w:r>
      <w:proofErr w:type="spellEnd"/>
      <w:r w:rsidRPr="00A737FE">
        <w:rPr>
          <w:rFonts w:ascii="Times New Roman" w:hAnsi="Times New Roman" w:cs="Times New Roman"/>
          <w:sz w:val="24"/>
          <w:szCs w:val="24"/>
        </w:rPr>
        <w:t xml:space="preserve"> </w:t>
      </w:r>
      <w:proofErr w:type="spellStart"/>
      <w:r w:rsidRPr="00A737FE">
        <w:rPr>
          <w:rFonts w:ascii="Times New Roman" w:hAnsi="Times New Roman" w:cs="Times New Roman"/>
          <w:sz w:val="24"/>
          <w:szCs w:val="24"/>
        </w:rPr>
        <w:t>terdistribusi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13369C1" w14:textId="153E9FBD" w:rsidR="00456471"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sidRPr="00941215">
        <w:rPr>
          <w:noProof/>
        </w:rPr>
        <w:drawing>
          <wp:inline distT="0" distB="0" distL="0" distR="0" wp14:anchorId="1E82DA4C" wp14:editId="1CFD57C6">
            <wp:extent cx="4085303" cy="1737589"/>
            <wp:effectExtent l="0" t="0" r="0" b="0"/>
            <wp:docPr id="846034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7194" cy="1742647"/>
                    </a:xfrm>
                    <a:prstGeom prst="rect">
                      <a:avLst/>
                    </a:prstGeom>
                    <a:noFill/>
                    <a:ln>
                      <a:noFill/>
                    </a:ln>
                  </pic:spPr>
                </pic:pic>
              </a:graphicData>
            </a:graphic>
          </wp:inline>
        </w:drawing>
      </w:r>
    </w:p>
    <w:p w14:paraId="084229AC" w14:textId="4777B5E4" w:rsidR="00456471" w:rsidRPr="00456471"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0"/>
          <w:szCs w:val="20"/>
        </w:rPr>
      </w:pPr>
      <w:proofErr w:type="spellStart"/>
      <w:r w:rsidRPr="00456471">
        <w:rPr>
          <w:rFonts w:ascii="Times New Roman" w:hAnsi="Times New Roman" w:cs="Times New Roman"/>
          <w:sz w:val="20"/>
          <w:szCs w:val="20"/>
        </w:rPr>
        <w:t>Sumber</w:t>
      </w:r>
      <w:proofErr w:type="spellEnd"/>
      <w:r w:rsidRPr="00456471">
        <w:rPr>
          <w:rFonts w:ascii="Times New Roman" w:hAnsi="Times New Roman" w:cs="Times New Roman"/>
          <w:sz w:val="20"/>
          <w:szCs w:val="20"/>
        </w:rPr>
        <w:t xml:space="preserve">: Hasil Olah Data </w:t>
      </w:r>
      <w:proofErr w:type="spellStart"/>
      <w:r w:rsidRPr="00456471">
        <w:rPr>
          <w:rFonts w:ascii="Times New Roman" w:hAnsi="Times New Roman" w:cs="Times New Roman"/>
          <w:sz w:val="20"/>
          <w:szCs w:val="20"/>
        </w:rPr>
        <w:t>Eviews</w:t>
      </w:r>
      <w:proofErr w:type="spellEnd"/>
    </w:p>
    <w:p w14:paraId="761D49A1" w14:textId="77777777" w:rsidR="00456471" w:rsidRDefault="00456471"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Probalitity</w:t>
      </w:r>
      <w:proofErr w:type="spellEnd"/>
      <w:proofErr w:type="gramEnd"/>
      <w:r>
        <w:rPr>
          <w:rFonts w:ascii="Times New Roman" w:hAnsi="Times New Roman" w:cs="Times New Roman"/>
          <w:i/>
          <w:iCs/>
          <w:sz w:val="24"/>
          <w:szCs w:val="24"/>
        </w:rPr>
        <w:t xml:space="preserve"> Jarque-Bera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0.675 (&gt;0,05). Maka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normal (Lolos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w:t>
      </w:r>
    </w:p>
    <w:p w14:paraId="542FCF1E" w14:textId="44554B2E" w:rsidR="00456471" w:rsidRPr="00257968" w:rsidRDefault="00257968"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r w:rsidRPr="00257968">
        <w:rPr>
          <w:rFonts w:ascii="Times New Roman" w:hAnsi="Times New Roman" w:cs="Times New Roman"/>
          <w:b/>
          <w:bCs/>
          <w:sz w:val="24"/>
          <w:szCs w:val="24"/>
        </w:rPr>
        <w:t xml:space="preserve">Uji </w:t>
      </w:r>
      <w:proofErr w:type="spellStart"/>
      <w:r w:rsidRPr="00257968">
        <w:rPr>
          <w:rFonts w:ascii="Times New Roman" w:hAnsi="Times New Roman" w:cs="Times New Roman"/>
          <w:b/>
          <w:bCs/>
          <w:sz w:val="24"/>
          <w:szCs w:val="24"/>
        </w:rPr>
        <w:t>Heteroskedastisitas</w:t>
      </w:r>
      <w:proofErr w:type="spellEnd"/>
    </w:p>
    <w:p w14:paraId="7323C40A" w14:textId="0E6064B8" w:rsidR="00257968" w:rsidRDefault="00257968"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residu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terpenuhinya</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homoscedasticity</w:t>
      </w:r>
    </w:p>
    <w:p w14:paraId="1B059335" w14:textId="240C662C" w:rsidR="00257968" w:rsidRDefault="00257968"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sidRPr="006A106E">
        <w:rPr>
          <w:noProof/>
        </w:rPr>
        <w:drawing>
          <wp:inline distT="0" distB="0" distL="0" distR="0" wp14:anchorId="0AB8787C" wp14:editId="61F2DFFF">
            <wp:extent cx="3812540" cy="693420"/>
            <wp:effectExtent l="0" t="0" r="0" b="0"/>
            <wp:docPr id="337093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2540" cy="693420"/>
                    </a:xfrm>
                    <a:prstGeom prst="rect">
                      <a:avLst/>
                    </a:prstGeom>
                    <a:noFill/>
                    <a:ln>
                      <a:noFill/>
                    </a:ln>
                  </pic:spPr>
                </pic:pic>
              </a:graphicData>
            </a:graphic>
          </wp:inline>
        </w:drawing>
      </w:r>
    </w:p>
    <w:p w14:paraId="01B837F1" w14:textId="00120BBA" w:rsidR="00257968" w:rsidRDefault="00257968" w:rsidP="00456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0"/>
          <w:szCs w:val="20"/>
        </w:rPr>
      </w:pPr>
      <w:proofErr w:type="spellStart"/>
      <w:r w:rsidRPr="00257968">
        <w:rPr>
          <w:rFonts w:ascii="Times New Roman" w:hAnsi="Times New Roman" w:cs="Times New Roman"/>
          <w:sz w:val="20"/>
          <w:szCs w:val="20"/>
        </w:rPr>
        <w:t>Sumber</w:t>
      </w:r>
      <w:proofErr w:type="spellEnd"/>
      <w:r w:rsidRPr="00257968">
        <w:rPr>
          <w:rFonts w:ascii="Times New Roman" w:hAnsi="Times New Roman" w:cs="Times New Roman"/>
          <w:sz w:val="20"/>
          <w:szCs w:val="20"/>
        </w:rPr>
        <w:t xml:space="preserve">: Hasil </w:t>
      </w:r>
      <w:proofErr w:type="spellStart"/>
      <w:r w:rsidRPr="00257968">
        <w:rPr>
          <w:rFonts w:ascii="Times New Roman" w:hAnsi="Times New Roman" w:cs="Times New Roman"/>
          <w:sz w:val="20"/>
          <w:szCs w:val="20"/>
        </w:rPr>
        <w:t>olah</w:t>
      </w:r>
      <w:proofErr w:type="spellEnd"/>
      <w:r w:rsidRPr="00257968">
        <w:rPr>
          <w:rFonts w:ascii="Times New Roman" w:hAnsi="Times New Roman" w:cs="Times New Roman"/>
          <w:sz w:val="20"/>
          <w:szCs w:val="20"/>
        </w:rPr>
        <w:t xml:space="preserve"> data </w:t>
      </w:r>
      <w:proofErr w:type="spellStart"/>
      <w:r w:rsidRPr="00257968">
        <w:rPr>
          <w:rFonts w:ascii="Times New Roman" w:hAnsi="Times New Roman" w:cs="Times New Roman"/>
          <w:sz w:val="20"/>
          <w:szCs w:val="20"/>
        </w:rPr>
        <w:t>Evi</w:t>
      </w:r>
      <w:r>
        <w:rPr>
          <w:rFonts w:ascii="Times New Roman" w:hAnsi="Times New Roman" w:cs="Times New Roman"/>
          <w:sz w:val="20"/>
          <w:szCs w:val="20"/>
        </w:rPr>
        <w:t>e</w:t>
      </w:r>
      <w:r w:rsidRPr="00257968">
        <w:rPr>
          <w:rFonts w:ascii="Times New Roman" w:hAnsi="Times New Roman" w:cs="Times New Roman"/>
          <w:sz w:val="20"/>
          <w:szCs w:val="20"/>
        </w:rPr>
        <w:t>ws</w:t>
      </w:r>
      <w:proofErr w:type="spellEnd"/>
    </w:p>
    <w:p w14:paraId="6E350712"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Probability </w:t>
      </w:r>
      <w:proofErr w:type="spellStart"/>
      <w:r>
        <w:rPr>
          <w:rFonts w:ascii="Times New Roman" w:hAnsi="Times New Roman" w:cs="Times New Roman"/>
          <w:i/>
          <w:iCs/>
          <w:sz w:val="24"/>
          <w:szCs w:val="24"/>
        </w:rPr>
        <w:t>Obs</w:t>
      </w:r>
      <w:proofErr w:type="spellEnd"/>
      <w:r>
        <w:rPr>
          <w:rFonts w:ascii="Times New Roman" w:hAnsi="Times New Roman" w:cs="Times New Roman"/>
          <w:i/>
          <w:iCs/>
          <w:sz w:val="24"/>
          <w:szCs w:val="24"/>
        </w:rPr>
        <w:t xml:space="preserve">* R-Square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0.4244 (&gt;0,05)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atau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sudah</w:t>
      </w:r>
      <w:proofErr w:type="spellEnd"/>
      <w:proofErr w:type="gramEnd"/>
      <w:r>
        <w:rPr>
          <w:rFonts w:ascii="Times New Roman" w:hAnsi="Times New Roman" w:cs="Times New Roman"/>
          <w:sz w:val="24"/>
          <w:szCs w:val="24"/>
        </w:rPr>
        <w:t xml:space="preserve"> lolos 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w:t>
      </w:r>
    </w:p>
    <w:p w14:paraId="735B9DA9" w14:textId="27C1C75F" w:rsidR="00257968" w:rsidRP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r w:rsidRPr="00257968">
        <w:rPr>
          <w:rFonts w:ascii="Times New Roman" w:hAnsi="Times New Roman" w:cs="Times New Roman"/>
          <w:b/>
          <w:bCs/>
          <w:sz w:val="24"/>
          <w:szCs w:val="24"/>
        </w:rPr>
        <w:t xml:space="preserve">Uji </w:t>
      </w:r>
      <w:proofErr w:type="spellStart"/>
      <w:r w:rsidRPr="00257968">
        <w:rPr>
          <w:rFonts w:ascii="Times New Roman" w:hAnsi="Times New Roman" w:cs="Times New Roman"/>
          <w:b/>
          <w:bCs/>
          <w:sz w:val="24"/>
          <w:szCs w:val="24"/>
        </w:rPr>
        <w:t>Autokorelasi</w:t>
      </w:r>
      <w:proofErr w:type="spellEnd"/>
    </w:p>
    <w:p w14:paraId="48D0D79C" w14:textId="14E6FA43"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t xml:space="preserve">Uji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(t-1). </w:t>
      </w:r>
    </w:p>
    <w:p w14:paraId="47AB7623" w14:textId="16DC8DDD"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sidRPr="000B7326">
        <w:rPr>
          <w:noProof/>
        </w:rPr>
        <w:drawing>
          <wp:inline distT="0" distB="0" distL="0" distR="0" wp14:anchorId="263B2104" wp14:editId="456E661A">
            <wp:extent cx="3812540" cy="553085"/>
            <wp:effectExtent l="0" t="0" r="0" b="0"/>
            <wp:docPr id="1804994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553085"/>
                    </a:xfrm>
                    <a:prstGeom prst="rect">
                      <a:avLst/>
                    </a:prstGeom>
                    <a:noFill/>
                    <a:ln>
                      <a:noFill/>
                    </a:ln>
                  </pic:spPr>
                </pic:pic>
              </a:graphicData>
            </a:graphic>
          </wp:inline>
        </w:drawing>
      </w:r>
    </w:p>
    <w:p w14:paraId="66C9DAB6" w14:textId="0B524F38"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Eviews</w:t>
      </w:r>
      <w:proofErr w:type="spellEnd"/>
    </w:p>
    <w:p w14:paraId="2C2FCC17" w14:textId="6808EDA9"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probability </w:t>
      </w:r>
      <w:proofErr w:type="spellStart"/>
      <w:r>
        <w:rPr>
          <w:rFonts w:ascii="Times New Roman" w:hAnsi="Times New Roman" w:cs="Times New Roman"/>
          <w:i/>
          <w:iCs/>
          <w:sz w:val="24"/>
          <w:szCs w:val="24"/>
        </w:rPr>
        <w:t>Obs</w:t>
      </w:r>
      <w:proofErr w:type="spellEnd"/>
      <w:r>
        <w:rPr>
          <w:rFonts w:ascii="Times New Roman" w:hAnsi="Times New Roman" w:cs="Times New Roman"/>
          <w:i/>
          <w:iCs/>
          <w:sz w:val="24"/>
          <w:szCs w:val="24"/>
        </w:rPr>
        <w:t xml:space="preserve">*R-Squared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0.6418 (&gt;0,05). Maka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lolos uji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w:t>
      </w:r>
    </w:p>
    <w:p w14:paraId="35937A39"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141247C3"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6DA75E82"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0F68B3D6"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13D81C2A"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4728EAF6"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3F23D4DC" w14:textId="1801DE1E" w:rsidR="00257968" w:rsidRP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r w:rsidRPr="00257968">
        <w:rPr>
          <w:rFonts w:ascii="Times New Roman" w:hAnsi="Times New Roman" w:cs="Times New Roman"/>
          <w:b/>
          <w:bCs/>
          <w:sz w:val="24"/>
          <w:szCs w:val="24"/>
        </w:rPr>
        <w:lastRenderedPageBreak/>
        <w:t xml:space="preserve">Uji </w:t>
      </w:r>
      <w:proofErr w:type="spellStart"/>
      <w:r w:rsidRPr="00257968">
        <w:rPr>
          <w:rFonts w:ascii="Times New Roman" w:hAnsi="Times New Roman" w:cs="Times New Roman"/>
          <w:b/>
          <w:bCs/>
          <w:sz w:val="24"/>
          <w:szCs w:val="24"/>
        </w:rPr>
        <w:t>Hipotesis</w:t>
      </w:r>
      <w:proofErr w:type="spellEnd"/>
    </w:p>
    <w:p w14:paraId="5A71490E" w14:textId="10CA9EA8"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sidRPr="001D22BC">
        <w:rPr>
          <w:rFonts w:ascii="Times New Roman" w:hAnsi="Times New Roman" w:cs="Times New Roman"/>
          <w:b/>
          <w:bCs/>
          <w:noProof/>
          <w:sz w:val="24"/>
          <w:szCs w:val="24"/>
        </w:rPr>
        <w:drawing>
          <wp:inline distT="0" distB="0" distL="0" distR="0" wp14:anchorId="48353E90" wp14:editId="3DAE089B">
            <wp:extent cx="3811905" cy="2367915"/>
            <wp:effectExtent l="0" t="0" r="0" b="0"/>
            <wp:docPr id="30233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1905" cy="2367915"/>
                    </a:xfrm>
                    <a:prstGeom prst="rect">
                      <a:avLst/>
                    </a:prstGeom>
                    <a:noFill/>
                    <a:ln>
                      <a:noFill/>
                    </a:ln>
                  </pic:spPr>
                </pic:pic>
              </a:graphicData>
            </a:graphic>
          </wp:inline>
        </w:drawing>
      </w:r>
    </w:p>
    <w:p w14:paraId="07DF500A" w14:textId="422F574C"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Eviews</w:t>
      </w:r>
      <w:proofErr w:type="spellEnd"/>
    </w:p>
    <w:p w14:paraId="606339CF" w14:textId="7A99E916" w:rsidR="00257968" w:rsidRP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proofErr w:type="spellStart"/>
      <w:r w:rsidRPr="00257968">
        <w:rPr>
          <w:rFonts w:ascii="Times New Roman" w:hAnsi="Times New Roman" w:cs="Times New Roman"/>
          <w:b/>
          <w:bCs/>
          <w:sz w:val="24"/>
          <w:szCs w:val="24"/>
        </w:rPr>
        <w:t>Analisis</w:t>
      </w:r>
      <w:proofErr w:type="spellEnd"/>
      <w:r w:rsidRPr="00257968">
        <w:rPr>
          <w:rFonts w:ascii="Times New Roman" w:hAnsi="Times New Roman" w:cs="Times New Roman"/>
          <w:b/>
          <w:bCs/>
          <w:sz w:val="24"/>
          <w:szCs w:val="24"/>
        </w:rPr>
        <w:t xml:space="preserve"> Hasil Uji T</w:t>
      </w:r>
    </w:p>
    <w:p w14:paraId="3ECF0E27" w14:textId="77777777" w:rsidR="00257968" w:rsidRPr="00621720" w:rsidRDefault="00257968" w:rsidP="00257968">
      <w:pPr>
        <w:pStyle w:val="ListParagraph"/>
        <w:numPr>
          <w:ilvl w:val="0"/>
          <w:numId w:val="1"/>
        </w:numPr>
        <w:spacing w:after="0" w:line="360" w:lineRule="auto"/>
        <w:jc w:val="both"/>
        <w:rPr>
          <w:rFonts w:ascii="Times New Roman" w:hAnsi="Times New Roman" w:cs="Times New Roman"/>
          <w:sz w:val="24"/>
          <w:szCs w:val="24"/>
        </w:rPr>
      </w:pPr>
      <w:proofErr w:type="spellStart"/>
      <w:r w:rsidRPr="00621720">
        <w:rPr>
          <w:rFonts w:ascii="Times New Roman" w:hAnsi="Times New Roman" w:cs="Times New Roman"/>
          <w:sz w:val="24"/>
          <w:szCs w:val="24"/>
        </w:rPr>
        <w:t>Variabel</w:t>
      </w:r>
      <w:proofErr w:type="spellEnd"/>
      <w:r w:rsidRPr="00621720">
        <w:rPr>
          <w:rFonts w:ascii="Times New Roman" w:hAnsi="Times New Roman" w:cs="Times New Roman"/>
          <w:sz w:val="24"/>
          <w:szCs w:val="24"/>
        </w:rPr>
        <w:t xml:space="preserve"> X1 </w:t>
      </w:r>
      <w:proofErr w:type="spellStart"/>
      <w:r w:rsidRPr="00621720">
        <w:rPr>
          <w:rFonts w:ascii="Times New Roman" w:hAnsi="Times New Roman" w:cs="Times New Roman"/>
          <w:sz w:val="24"/>
          <w:szCs w:val="24"/>
        </w:rPr>
        <w:t>memiliki</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nilai</w:t>
      </w:r>
      <w:proofErr w:type="spellEnd"/>
      <w:r w:rsidRPr="00621720">
        <w:rPr>
          <w:rFonts w:ascii="Times New Roman" w:hAnsi="Times New Roman" w:cs="Times New Roman"/>
          <w:sz w:val="24"/>
          <w:szCs w:val="24"/>
        </w:rPr>
        <w:t xml:space="preserve"> t-statistic </w:t>
      </w:r>
      <w:proofErr w:type="spellStart"/>
      <w:r w:rsidRPr="00621720">
        <w:rPr>
          <w:rFonts w:ascii="Times New Roman" w:hAnsi="Times New Roman" w:cs="Times New Roman"/>
          <w:sz w:val="24"/>
          <w:szCs w:val="24"/>
        </w:rPr>
        <w:t>sebesar</w:t>
      </w:r>
      <w:proofErr w:type="spellEnd"/>
      <w:r w:rsidRPr="00621720">
        <w:rPr>
          <w:rFonts w:ascii="Times New Roman" w:hAnsi="Times New Roman" w:cs="Times New Roman"/>
          <w:sz w:val="24"/>
          <w:szCs w:val="24"/>
        </w:rPr>
        <w:t xml:space="preserve"> 2.632 </w:t>
      </w:r>
      <w:proofErr w:type="spellStart"/>
      <w:r w:rsidRPr="00621720">
        <w:rPr>
          <w:rFonts w:ascii="Times New Roman" w:hAnsi="Times New Roman" w:cs="Times New Roman"/>
          <w:sz w:val="24"/>
          <w:szCs w:val="24"/>
        </w:rPr>
        <w:t>dengan</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nilai</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probabilitas</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sebesar</w:t>
      </w:r>
      <w:proofErr w:type="spellEnd"/>
      <w:r w:rsidRPr="00621720">
        <w:rPr>
          <w:rFonts w:ascii="Times New Roman" w:hAnsi="Times New Roman" w:cs="Times New Roman"/>
          <w:sz w:val="24"/>
          <w:szCs w:val="24"/>
        </w:rPr>
        <w:t xml:space="preserve"> 0.010 (&lt;0,05). Maka </w:t>
      </w:r>
      <w:proofErr w:type="spellStart"/>
      <w:r w:rsidRPr="00621720">
        <w:rPr>
          <w:rFonts w:ascii="Times New Roman" w:hAnsi="Times New Roman" w:cs="Times New Roman"/>
          <w:sz w:val="24"/>
          <w:szCs w:val="24"/>
        </w:rPr>
        <w:t>dapat</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disimpulkan</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bahwa</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variabel</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sikap</w:t>
      </w:r>
      <w:proofErr w:type="spellEnd"/>
      <w:r w:rsidRPr="00621720">
        <w:rPr>
          <w:rFonts w:ascii="Times New Roman" w:hAnsi="Times New Roman" w:cs="Times New Roman"/>
          <w:sz w:val="24"/>
          <w:szCs w:val="24"/>
        </w:rPr>
        <w:t xml:space="preserve"> (X1) </w:t>
      </w:r>
      <w:proofErr w:type="spellStart"/>
      <w:r w:rsidRPr="00621720">
        <w:rPr>
          <w:rFonts w:ascii="Times New Roman" w:hAnsi="Times New Roman" w:cs="Times New Roman"/>
          <w:sz w:val="24"/>
          <w:szCs w:val="24"/>
        </w:rPr>
        <w:t>berpengaruh</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terhadap</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keputusan</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pembelian</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atau</w:t>
      </w:r>
      <w:proofErr w:type="spellEnd"/>
      <w:r w:rsidRPr="00621720">
        <w:rPr>
          <w:rFonts w:ascii="Times New Roman" w:hAnsi="Times New Roman" w:cs="Times New Roman"/>
          <w:sz w:val="24"/>
          <w:szCs w:val="24"/>
        </w:rPr>
        <w:t xml:space="preserve"> </w:t>
      </w:r>
      <w:proofErr w:type="spellStart"/>
      <w:r w:rsidRPr="00621720">
        <w:rPr>
          <w:rFonts w:ascii="Times New Roman" w:hAnsi="Times New Roman" w:cs="Times New Roman"/>
          <w:sz w:val="24"/>
          <w:szCs w:val="24"/>
        </w:rPr>
        <w:t>variabel</w:t>
      </w:r>
      <w:proofErr w:type="spellEnd"/>
      <w:r w:rsidRPr="00621720">
        <w:rPr>
          <w:rFonts w:ascii="Times New Roman" w:hAnsi="Times New Roman" w:cs="Times New Roman"/>
          <w:sz w:val="24"/>
          <w:szCs w:val="24"/>
        </w:rPr>
        <w:t xml:space="preserve"> Y.</w:t>
      </w:r>
    </w:p>
    <w:p w14:paraId="0E94E9FD" w14:textId="77777777" w:rsidR="00257968" w:rsidRDefault="00257968" w:rsidP="00257968">
      <w:pPr>
        <w:pStyle w:val="ListParagraph"/>
        <w:numPr>
          <w:ilvl w:val="0"/>
          <w:numId w:val="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-0.115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0.859 (&gt;0,05).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X2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berpenharuh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(Y).</w:t>
      </w:r>
    </w:p>
    <w:p w14:paraId="740A402F" w14:textId="77777777" w:rsidR="00257968" w:rsidRDefault="00257968" w:rsidP="00257968">
      <w:pPr>
        <w:pStyle w:val="ListParagraph"/>
        <w:numPr>
          <w:ilvl w:val="0"/>
          <w:numId w:val="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X3,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statisticnya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1.081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0.282 (&gt;0,05).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r>
        <w:rPr>
          <w:rFonts w:ascii="Times New Roman" w:hAnsi="Times New Roman" w:cs="Times New Roman"/>
          <w:sz w:val="24"/>
          <w:szCs w:val="24"/>
        </w:rPr>
        <w:t xml:space="preserve"> (X3)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(Y)</w:t>
      </w:r>
    </w:p>
    <w:p w14:paraId="4E279DDA" w14:textId="77777777" w:rsidR="00257968" w:rsidRDefault="00257968" w:rsidP="00257968">
      <w:pPr>
        <w:pStyle w:val="ListParagraph"/>
        <w:numPr>
          <w:ilvl w:val="0"/>
          <w:numId w:val="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X4,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3.010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brand </w:t>
      </w:r>
      <w:proofErr w:type="gramStart"/>
      <w:r>
        <w:rPr>
          <w:rFonts w:ascii="Times New Roman" w:hAnsi="Times New Roman" w:cs="Times New Roman"/>
          <w:i/>
          <w:iCs/>
          <w:sz w:val="24"/>
          <w:szCs w:val="24"/>
        </w:rPr>
        <w:t xml:space="preserve">image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X4)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(Y).</w:t>
      </w:r>
    </w:p>
    <w:p w14:paraId="143F12D8" w14:textId="3ADC1CE0" w:rsidR="00257968" w:rsidRP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r w:rsidRPr="00257968">
        <w:rPr>
          <w:rFonts w:ascii="Times New Roman" w:hAnsi="Times New Roman" w:cs="Times New Roman"/>
          <w:b/>
          <w:bCs/>
          <w:sz w:val="24"/>
          <w:szCs w:val="24"/>
        </w:rPr>
        <w:t xml:space="preserve">Hasil Uji F (Uji </w:t>
      </w:r>
      <w:proofErr w:type="spellStart"/>
      <w:r w:rsidRPr="00257968">
        <w:rPr>
          <w:rFonts w:ascii="Times New Roman" w:hAnsi="Times New Roman" w:cs="Times New Roman"/>
          <w:b/>
          <w:bCs/>
          <w:sz w:val="24"/>
          <w:szCs w:val="24"/>
        </w:rPr>
        <w:t>Simultan</w:t>
      </w:r>
      <w:proofErr w:type="spellEnd"/>
      <w:r w:rsidRPr="00257968">
        <w:rPr>
          <w:rFonts w:ascii="Times New Roman" w:hAnsi="Times New Roman" w:cs="Times New Roman"/>
          <w:b/>
          <w:bCs/>
          <w:sz w:val="24"/>
          <w:szCs w:val="24"/>
        </w:rPr>
        <w:t>)</w:t>
      </w:r>
    </w:p>
    <w:p w14:paraId="5B8F3B24" w14:textId="03967268"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F-statistic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18.792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prob (f-statistic) </w:t>
      </w:r>
      <w:proofErr w:type="spellStart"/>
      <w:r>
        <w:rPr>
          <w:rFonts w:ascii="Times New Roman" w:hAnsi="Times New Roman" w:cs="Times New Roman"/>
          <w:sz w:val="24"/>
          <w:szCs w:val="24"/>
        </w:rPr>
        <w:t>sebsar</w:t>
      </w:r>
      <w:proofErr w:type="spellEnd"/>
      <w:r>
        <w:rPr>
          <w:rFonts w:ascii="Times New Roman" w:hAnsi="Times New Roman" w:cs="Times New Roman"/>
          <w:sz w:val="24"/>
          <w:szCs w:val="24"/>
        </w:rPr>
        <w:t xml:space="preserve"> 0.000 (&lt;0,05</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w:t>
      </w:r>
    </w:p>
    <w:p w14:paraId="19AA9CE8" w14:textId="63C8A23D" w:rsidR="00257968" w:rsidRP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r w:rsidRPr="00257968">
        <w:rPr>
          <w:rFonts w:ascii="Times New Roman" w:hAnsi="Times New Roman" w:cs="Times New Roman"/>
          <w:b/>
          <w:bCs/>
          <w:sz w:val="24"/>
          <w:szCs w:val="24"/>
        </w:rPr>
        <w:t xml:space="preserve">Hasil </w:t>
      </w:r>
      <w:proofErr w:type="spellStart"/>
      <w:r w:rsidRPr="00257968">
        <w:rPr>
          <w:rFonts w:ascii="Times New Roman" w:hAnsi="Times New Roman" w:cs="Times New Roman"/>
          <w:b/>
          <w:bCs/>
          <w:sz w:val="24"/>
          <w:szCs w:val="24"/>
        </w:rPr>
        <w:t>Analisis</w:t>
      </w:r>
      <w:proofErr w:type="spellEnd"/>
      <w:r w:rsidRPr="00257968">
        <w:rPr>
          <w:rFonts w:ascii="Times New Roman" w:hAnsi="Times New Roman" w:cs="Times New Roman"/>
          <w:b/>
          <w:bCs/>
          <w:sz w:val="24"/>
          <w:szCs w:val="24"/>
        </w:rPr>
        <w:t xml:space="preserve"> Uji </w:t>
      </w:r>
      <w:proofErr w:type="spellStart"/>
      <w:r w:rsidRPr="00257968">
        <w:rPr>
          <w:rFonts w:ascii="Times New Roman" w:hAnsi="Times New Roman" w:cs="Times New Roman"/>
          <w:b/>
          <w:bCs/>
          <w:sz w:val="24"/>
          <w:szCs w:val="24"/>
        </w:rPr>
        <w:t>Koefisien</w:t>
      </w:r>
      <w:proofErr w:type="spellEnd"/>
      <w:r w:rsidRPr="00257968">
        <w:rPr>
          <w:rFonts w:ascii="Times New Roman" w:hAnsi="Times New Roman" w:cs="Times New Roman"/>
          <w:b/>
          <w:bCs/>
          <w:sz w:val="24"/>
          <w:szCs w:val="24"/>
        </w:rPr>
        <w:t xml:space="preserve"> </w:t>
      </w:r>
      <w:proofErr w:type="spellStart"/>
      <w:r w:rsidRPr="00257968">
        <w:rPr>
          <w:rFonts w:ascii="Times New Roman" w:hAnsi="Times New Roman" w:cs="Times New Roman"/>
          <w:b/>
          <w:bCs/>
          <w:sz w:val="24"/>
          <w:szCs w:val="24"/>
        </w:rPr>
        <w:t>determinasi</w:t>
      </w:r>
      <w:proofErr w:type="spellEnd"/>
    </w:p>
    <w:p w14:paraId="222A6ED9" w14:textId="5ABF0EE3"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Diketahu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iAdjusted</w:t>
      </w:r>
      <w:proofErr w:type="spellEnd"/>
      <w:r>
        <w:rPr>
          <w:rFonts w:ascii="Times New Roman" w:hAnsi="Times New Roman" w:cs="Times New Roman"/>
          <w:sz w:val="24"/>
          <w:szCs w:val="24"/>
        </w:rPr>
        <w:t xml:space="preserve"> R Square </w:t>
      </w:r>
      <w:proofErr w:type="spellStart"/>
      <w:r>
        <w:rPr>
          <w:rFonts w:ascii="Times New Roman" w:hAnsi="Times New Roman" w:cs="Times New Roman"/>
          <w:i/>
          <w:iCs/>
          <w:sz w:val="24"/>
          <w:szCs w:val="24"/>
        </w:rPr>
        <w:t>dalam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sebesar</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0.467,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varuabel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variable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46,7%.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53,3</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0AA37A7"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00C49781"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1FB0BC09"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2A45C353" w14:textId="77777777"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621DEBA5" w14:textId="7A4B6D86"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Pembahasan</w:t>
      </w:r>
      <w:proofErr w:type="spellEnd"/>
    </w:p>
    <w:p w14:paraId="648F436F" w14:textId="4541242F"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Pengaruh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Sikap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Keputusan </w:t>
      </w:r>
      <w:proofErr w:type="spellStart"/>
      <w:r>
        <w:rPr>
          <w:rFonts w:ascii="Times New Roman" w:hAnsi="Times New Roman" w:cs="Times New Roman"/>
          <w:b/>
          <w:bCs/>
          <w:sz w:val="24"/>
          <w:szCs w:val="24"/>
        </w:rPr>
        <w:t>Pembelian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Produk</w:t>
      </w:r>
      <w:proofErr w:type="spellEnd"/>
      <w:r>
        <w:rPr>
          <w:rFonts w:ascii="Times New Roman" w:hAnsi="Times New Roman" w:cs="Times New Roman"/>
          <w:b/>
          <w:bCs/>
          <w:sz w:val="24"/>
          <w:szCs w:val="24"/>
        </w:rPr>
        <w:t xml:space="preserve"> Kopi </w:t>
      </w:r>
      <w:proofErr w:type="spellStart"/>
      <w:r>
        <w:rPr>
          <w:rFonts w:ascii="Times New Roman" w:hAnsi="Times New Roman" w:cs="Times New Roman"/>
          <w:b/>
          <w:bCs/>
          <w:sz w:val="24"/>
          <w:szCs w:val="24"/>
        </w:rPr>
        <w:t>Keliling</w:t>
      </w:r>
      <w:proofErr w:type="spellEnd"/>
    </w:p>
    <w:p w14:paraId="46806B6B" w14:textId="69BE8A3D" w:rsid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{"citationItems":[{"id":"ITEM-1","itemData":{"DOI":"10.30872/JMMN.V14I1.10638","ISSN":"2528-1518","abstract":"Lifestyle is one of the important factors to be able to influence a purchasing decision at Cafe Gwalk, so optimizing attitudes and lifestyle developments are important things to pay attention to in order to maintain sustainable business growth in global competition. Purchasing decisions can be influenced by various factors, but the biggest influence comes from attitudes and lifestyles, as evidenced by this study through a questionnaire instrument that involved 70 respondents but who entered the criteria there were only 50 respondents from the total number of visitors who came to Cafe Gwalk at the end of November 2021. The regression model of this study was declared feasible based on the results of the F test, and carried out on the T test and it was concluded that both partially and simultaneously attitudes and lifestyle have a significant effect on purchasing decisions.","author":[{"dropping-particle":"","family":"Aini","given":"Firdatul","non-dropping-particle":"","parse-names":false,"suffix":""},{"dropping-particle":"","family":"Maulidiyah","given":"Rifdatul","non-dropping-particle":"","parse-names":false,"suffix":""},{"dropping-particle":"","family":"Hidayanto","given":"Moh Firdaus","non-dropping-particle":"","parse-names":false,"suffix":""}],"container-title":"JURNAL MANAJEMEN","id":"ITEM-1","issue":"1","issued":{"date-parts":[["2022","3","11"]]},"page":"83-90","publisher":"Universitas Mulawarman","title":"Pengaruh gaya hidup dan sikap konsumen terhadap keputusan pembelian","type":"article-journal","volume":"14"},"uris":["http://www.mendeley.com/documents/?uuid=b9eb6012-33a4-3459-9cef-c897f362d6b8"]}],"mendeley":{"formattedCitation":"(Aini et al., 2022)","manualFormatting":"Aini et al (2022)","plainTextFormattedCitation":"(Aini et al., 2022)","previouslyFormattedCitation":"(Aini et al., 2022)"},"properties":{"noteIndex":0},"schema":"https://github.com/citation-style-language/schema/raw/master/csl-citation.json"}</w:instrText>
      </w:r>
      <w:r>
        <w:rPr>
          <w:rFonts w:ascii="Times New Roman" w:hAnsi="Times New Roman" w:cs="Times New Roman"/>
          <w:sz w:val="24"/>
          <w:szCs w:val="24"/>
        </w:rPr>
        <w:fldChar w:fldCharType="separate"/>
      </w:r>
      <w:r w:rsidRPr="0036424D">
        <w:rPr>
          <w:rFonts w:ascii="Times New Roman" w:hAnsi="Times New Roman" w:cs="Times New Roman"/>
          <w:noProof/>
          <w:sz w:val="24"/>
          <w:szCs w:val="24"/>
        </w:rPr>
        <w:t>Aini et al</w:t>
      </w:r>
      <w:r>
        <w:rPr>
          <w:rFonts w:ascii="Times New Roman" w:hAnsi="Times New Roman" w:cs="Times New Roman"/>
          <w:noProof/>
          <w:sz w:val="24"/>
          <w:szCs w:val="24"/>
        </w:rPr>
        <w:t xml:space="preserve"> (</w:t>
      </w:r>
      <w:r w:rsidRPr="0036424D">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fakyor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Processes","id":"ITEM-1","issue":"2","issued":{"date-parts":[["1991","12","1"]]},"page":"179-211","publisher":"Academic Press","title":"The theory of planned behavior","type":"article-journal","volume":"50"},"uris":["http://www.mendeley.com/documents/?uuid=06da110e-f0f8-35f3-a967-7f2fc8f52f94"]}],"mendeley":{"formattedCitation":"(Ajzen, 1991)","plainTextFormattedCitation":"(Ajzen, 1991)","previouslyFormattedCitation":"(Ajzen, 1991)"},"properties":{"noteIndex":0},"schema":"https://github.com/citation-style-language/schema/raw/master/csl-citation.json"}</w:instrText>
      </w:r>
      <w:r>
        <w:rPr>
          <w:rFonts w:ascii="Times New Roman" w:hAnsi="Times New Roman" w:cs="Times New Roman"/>
          <w:sz w:val="24"/>
          <w:szCs w:val="24"/>
        </w:rPr>
        <w:fldChar w:fldCharType="separate"/>
      </w:r>
      <w:r w:rsidRPr="00597ADF">
        <w:rPr>
          <w:rFonts w:ascii="Times New Roman" w:hAnsi="Times New Roman" w:cs="Times New Roman"/>
          <w:noProof/>
          <w:sz w:val="24"/>
          <w:szCs w:val="24"/>
        </w:rPr>
        <w:t>(Ajzen, 1991)</w:t>
      </w:r>
      <w:r>
        <w:rPr>
          <w:rFonts w:ascii="Times New Roman" w:hAnsi="Times New Roman" w:cs="Times New Roman"/>
          <w:sz w:val="24"/>
          <w:szCs w:val="24"/>
        </w:rPr>
        <w:fldChar w:fldCharType="end"/>
      </w:r>
      <w:r>
        <w:rPr>
          <w:rFonts w:ascii="Times New Roman" w:hAnsi="Times New Roman" w:cs="Times New Roman"/>
          <w:sz w:val="24"/>
          <w:szCs w:val="24"/>
        </w:rPr>
        <w:t xml:space="preserve"> di mana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
    <w:p w14:paraId="3AFAA3A9" w14:textId="5F02BAE4" w:rsidR="00257968" w:rsidRPr="00257968" w:rsidRDefault="0017578E"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sidR="00257968">
        <w:rPr>
          <w:rFonts w:ascii="Times New Roman" w:hAnsi="Times New Roman" w:cs="Times New Roman"/>
          <w:sz w:val="24"/>
          <w:szCs w:val="24"/>
        </w:rPr>
        <w:t>Membahas</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lebih</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dalam</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lagi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mengenai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sikap</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banyak</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peneliti</w:t>
      </w:r>
      <w:proofErr w:type="spellEnd"/>
      <w:r w:rsidR="00257968">
        <w:rPr>
          <w:rFonts w:ascii="Times New Roman" w:hAnsi="Times New Roman" w:cs="Times New Roman"/>
          <w:sz w:val="24"/>
          <w:szCs w:val="24"/>
        </w:rPr>
        <w:t xml:space="preserve"> yang </w:t>
      </w:r>
      <w:proofErr w:type="spellStart"/>
      <w:r w:rsidR="00257968">
        <w:rPr>
          <w:rFonts w:ascii="Times New Roman" w:hAnsi="Times New Roman" w:cs="Times New Roman"/>
          <w:sz w:val="24"/>
          <w:szCs w:val="24"/>
        </w:rPr>
        <w:t>kemudian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mendukung</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variabel</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sikap</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sebagai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predikto</w:t>
      </w:r>
      <w:proofErr w:type="spellEnd"/>
      <w:r w:rsidR="00257968">
        <w:rPr>
          <w:rFonts w:ascii="Times New Roman" w:hAnsi="Times New Roman" w:cs="Times New Roman"/>
          <w:sz w:val="24"/>
          <w:szCs w:val="24"/>
        </w:rPr>
        <w:t xml:space="preserve"> yang </w:t>
      </w:r>
      <w:proofErr w:type="spellStart"/>
      <w:r w:rsidR="00257968">
        <w:rPr>
          <w:rFonts w:ascii="Times New Roman" w:hAnsi="Times New Roman" w:cs="Times New Roman"/>
          <w:sz w:val="24"/>
          <w:szCs w:val="24"/>
        </w:rPr>
        <w:t>signifikan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seperti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dalam</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sektor</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pariwisata</w:t>
      </w:r>
      <w:proofErr w:type="spellEnd"/>
      <w:r w:rsidR="00257968">
        <w:rPr>
          <w:rFonts w:ascii="Times New Roman" w:hAnsi="Times New Roman" w:cs="Times New Roman"/>
          <w:sz w:val="24"/>
          <w:szCs w:val="24"/>
        </w:rPr>
        <w:t xml:space="preserve"> </w:t>
      </w:r>
      <w:r w:rsidR="00257968">
        <w:rPr>
          <w:rFonts w:ascii="Times New Roman" w:hAnsi="Times New Roman" w:cs="Times New Roman"/>
          <w:sz w:val="24"/>
          <w:szCs w:val="24"/>
        </w:rPr>
        <w:fldChar w:fldCharType="begin" w:fldLock="1"/>
      </w:r>
      <w:r w:rsidR="00257968">
        <w:rPr>
          <w:rFonts w:ascii="Times New Roman" w:hAnsi="Times New Roman" w:cs="Times New Roman"/>
          <w:sz w:val="24"/>
          <w:szCs w:val="24"/>
        </w:rPr>
        <w:instrText>ADDIN CSL_CITATION {"citationItems":[{"id":"ITEM-1","itemData":{"DOI":"10.1016/j.tourman.2014.06.006","ISSN":"02615177","author":[{"dropping-particle":"","family":"Amaro","given":"Suzanne","non-dropping-particle":"","parse-names":false,"suffix":""},{"dropping-particle":"","family":"Duarte","given":"Paulo","non-dropping-particle":"","parse-names":false,"suffix":""}],"container-title":"Tourism Management","id":"ITEM-1","issued":{"date-parts":[["2015","2"]]},"page":"64-79","title":"An integrative model of consumers' intentions to purchase travel online","type":"article-journal","volume":"46"},"uris":["http://www.mendeley.com/documents/?uuid=1737fbf8-2c42-41dc-814f-c888d16aafd7"]}],"mendeley":{"formattedCitation":"(Amaro &amp; Duarte, 2015)","plainTextFormattedCitation":"(Amaro &amp; Duarte, 2015)","previouslyFormattedCitation":"(Amaro &amp; Duarte, 2015)"},"properties":{"noteIndex":0},"schema":"https://github.com/citation-style-language/schema/raw/master/csl-citation.json"}</w:instrText>
      </w:r>
      <w:r w:rsidR="00257968">
        <w:rPr>
          <w:rFonts w:ascii="Times New Roman" w:hAnsi="Times New Roman" w:cs="Times New Roman"/>
          <w:sz w:val="24"/>
          <w:szCs w:val="24"/>
        </w:rPr>
        <w:fldChar w:fldCharType="separate"/>
      </w:r>
      <w:r w:rsidR="00257968" w:rsidRPr="00491C9F">
        <w:rPr>
          <w:rFonts w:ascii="Times New Roman" w:hAnsi="Times New Roman" w:cs="Times New Roman"/>
          <w:noProof/>
          <w:sz w:val="24"/>
          <w:szCs w:val="24"/>
        </w:rPr>
        <w:t>(Amaro &amp; Duarte, 2015)</w:t>
      </w:r>
      <w:r w:rsidR="00257968">
        <w:rPr>
          <w:rFonts w:ascii="Times New Roman" w:hAnsi="Times New Roman" w:cs="Times New Roman"/>
          <w:sz w:val="24"/>
          <w:szCs w:val="24"/>
        </w:rPr>
        <w:fldChar w:fldCharType="end"/>
      </w:r>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penggunaan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teknologi</w:t>
      </w:r>
      <w:proofErr w:type="spellEnd"/>
      <w:r w:rsidR="00257968">
        <w:rPr>
          <w:rFonts w:ascii="Times New Roman" w:hAnsi="Times New Roman" w:cs="Times New Roman"/>
          <w:sz w:val="24"/>
          <w:szCs w:val="24"/>
        </w:rPr>
        <w:t xml:space="preserve"> </w:t>
      </w:r>
      <w:r w:rsidR="00257968">
        <w:rPr>
          <w:rFonts w:ascii="Times New Roman" w:hAnsi="Times New Roman" w:cs="Times New Roman"/>
          <w:sz w:val="24"/>
          <w:szCs w:val="24"/>
        </w:rPr>
        <w:fldChar w:fldCharType="begin" w:fldLock="1"/>
      </w:r>
      <w:r w:rsidR="00257968">
        <w:rPr>
          <w:rFonts w:ascii="Times New Roman" w:hAnsi="Times New Roman" w:cs="Times New Roman"/>
          <w:sz w:val="24"/>
          <w:szCs w:val="24"/>
        </w:rPr>
        <w:instrText>ADDIN CSL_CITATION {"citationItems":[{"id":"ITEM-1","itemData":{"DOI":"10.3390/jtaer18010024","ISSN":"0718-1876","abstract":"The main objective of this article is to investigate the factors that influence customers’ intention to reuse chatbot-based services. The study employs a combination of the technology acceptance model (TAM) with other contributions in the literature to develop a theoretical model that predicts and explains customers’ intention to reuse chatbots. The research uses structural equation modeling (PLS-SEM) to test the proposed hypotheses. Data collected from 201 chatbot users among Portuguese consumers were analyzed, and the results showed that user satisfaction, perceived usefulness, and subjective norm are significant predictors of chatbot reuse intentions. Additionally, the findings indicated that perceived usefulness, perceived ease of use, and trust have a positive impact on attitudes toward using chatbots. Trust was found to have a significant impact on perceived usefulness, user satisfaction, and attitudes toward using chatbots. However, there was no significant effect of attitude toward using chatbots, perceived ease of use, trust, and perceived social presence on reuse intentions. The article concludes with theoretical contributions and recommendations for managers.","author":[{"dropping-particle":"","family":"Silva","given":"Filipe Araújo","non-dropping-particle":"","parse-names":false,"suffix":""},{"dropping-particle":"","family":"Shojaei","given":"Alireza Shabani","non-dropping-particle":"","parse-names":false,"suffix":""},{"dropping-particle":"","family":"Barbosa","given":"Belem","non-dropping-particle":"","parse-names":false,"suffix":""}],"container-title":"Journal of Theoretical and Applied Electronic Commerce Research","id":"ITEM-1","issue":"1","issued":{"date-parts":[["2023","3","1"]]},"page":"457-474","title":"Chatbot-Based Services: A Study on Customers’ Reuse Intention","type":"article-journal","volume":"18"},"uris":["http://www.mendeley.com/documents/?uuid=8321ca27-22d2-4f72-9409-32c1cec8a64a"]}],"mendeley":{"formattedCitation":"(Silva et al., 2023)","plainTextFormattedCitation":"(Silva et al., 2023)","previouslyFormattedCitation":"(Silva et al., 2023)"},"properties":{"noteIndex":0},"schema":"https://github.com/citation-style-language/schema/raw/master/csl-citation.json"}</w:instrText>
      </w:r>
      <w:r w:rsidR="00257968">
        <w:rPr>
          <w:rFonts w:ascii="Times New Roman" w:hAnsi="Times New Roman" w:cs="Times New Roman"/>
          <w:sz w:val="24"/>
          <w:szCs w:val="24"/>
        </w:rPr>
        <w:fldChar w:fldCharType="separate"/>
      </w:r>
      <w:r w:rsidR="00257968" w:rsidRPr="00B97AC0">
        <w:rPr>
          <w:rFonts w:ascii="Times New Roman" w:hAnsi="Times New Roman" w:cs="Times New Roman"/>
          <w:noProof/>
          <w:sz w:val="24"/>
          <w:szCs w:val="24"/>
        </w:rPr>
        <w:t>(Silva et al., 2023)</w:t>
      </w:r>
      <w:r w:rsidR="00257968">
        <w:rPr>
          <w:rFonts w:ascii="Times New Roman" w:hAnsi="Times New Roman" w:cs="Times New Roman"/>
          <w:sz w:val="24"/>
          <w:szCs w:val="24"/>
        </w:rPr>
        <w:fldChar w:fldCharType="end"/>
      </w:r>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periklanan</w:t>
      </w:r>
      <w:proofErr w:type="spellEnd"/>
      <w:r w:rsidR="00257968">
        <w:rPr>
          <w:rFonts w:ascii="Times New Roman" w:hAnsi="Times New Roman" w:cs="Times New Roman"/>
          <w:sz w:val="24"/>
          <w:szCs w:val="24"/>
        </w:rPr>
        <w:t xml:space="preserve"> </w:t>
      </w:r>
      <w:r w:rsidR="00257968">
        <w:rPr>
          <w:rFonts w:ascii="Times New Roman" w:hAnsi="Times New Roman" w:cs="Times New Roman"/>
          <w:sz w:val="24"/>
          <w:szCs w:val="24"/>
        </w:rPr>
        <w:fldChar w:fldCharType="begin" w:fldLock="1"/>
      </w:r>
      <w:r w:rsidR="00257968">
        <w:rPr>
          <w:rFonts w:ascii="Times New Roman" w:hAnsi="Times New Roman" w:cs="Times New Roman"/>
          <w:sz w:val="24"/>
          <w:szCs w:val="24"/>
        </w:rPr>
        <w:instrText>ADDIN CSL_CITATION {"citationItems":[{"id":"ITEM-1","itemData":{"DOI":"10.1080/23311975.2022.2095950","ISSN":"2331-1975","author":[{"dropping-particle":"","family":"Ho Nguyen","given":"Hai","non-dropping-particle":"","parse-names":false,"suffix":""},{"dropping-particle":"","family":"Nguyen-Viet","given":"Bang","non-dropping-particle":"","parse-names":false,"suffix":""},{"dropping-particle":"","family":"Hoang Nguyen","given":"Yen Thi","non-dropping-particle":"","parse-names":false,"suffix":""},{"dropping-particle":"","family":"Hoang Le","given":"Tin","non-dropping-particle":"","parse-names":false,"suffix":""}],"container-title":"Cogent Business &amp; Management","id":"ITEM-1","issue":"1","issued":{"date-parts":[["2022","12","31"]]},"title":"Understanding online purchase intention: the mediating role of attitude towards advertising","type":"article-journal","volume":"9"},"uris":["http://www.mendeley.com/documents/?uuid=4040d4f2-83bc-466f-acb0-db72317c4002"]}],"mendeley":{"formattedCitation":"(Ho Nguyen et al., 2022)","plainTextFormattedCitation":"(Ho Nguyen et al., 2022)","previouslyFormattedCitation":"(Ho Nguyen et al., 2022)"},"properties":{"noteIndex":0},"schema":"https://github.com/citation-style-language/schema/raw/master/csl-citation.json"}</w:instrText>
      </w:r>
      <w:r w:rsidR="00257968">
        <w:rPr>
          <w:rFonts w:ascii="Times New Roman" w:hAnsi="Times New Roman" w:cs="Times New Roman"/>
          <w:sz w:val="24"/>
          <w:szCs w:val="24"/>
        </w:rPr>
        <w:fldChar w:fldCharType="separate"/>
      </w:r>
      <w:r w:rsidR="00257968" w:rsidRPr="00B97AC0">
        <w:rPr>
          <w:rFonts w:ascii="Times New Roman" w:hAnsi="Times New Roman" w:cs="Times New Roman"/>
          <w:noProof/>
          <w:sz w:val="24"/>
          <w:szCs w:val="24"/>
        </w:rPr>
        <w:t>(Ho Nguyen et al., 2022)</w:t>
      </w:r>
      <w:r w:rsidR="00257968">
        <w:rPr>
          <w:rFonts w:ascii="Times New Roman" w:hAnsi="Times New Roman" w:cs="Times New Roman"/>
          <w:sz w:val="24"/>
          <w:szCs w:val="24"/>
        </w:rPr>
        <w:fldChar w:fldCharType="end"/>
      </w:r>
      <w:r w:rsidR="00257968">
        <w:rPr>
          <w:rFonts w:ascii="Times New Roman" w:hAnsi="Times New Roman" w:cs="Times New Roman"/>
          <w:sz w:val="24"/>
          <w:szCs w:val="24"/>
        </w:rPr>
        <w:t xml:space="preserve">, dan </w:t>
      </w:r>
      <w:proofErr w:type="spellStart"/>
      <w:r w:rsidR="00257968">
        <w:rPr>
          <w:rFonts w:ascii="Times New Roman" w:hAnsi="Times New Roman" w:cs="Times New Roman"/>
          <w:sz w:val="24"/>
          <w:szCs w:val="24"/>
        </w:rPr>
        <w:t>produk</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ramah</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lingkungan</w:t>
      </w:r>
      <w:proofErr w:type="spellEnd"/>
      <w:r w:rsidR="00257968">
        <w:rPr>
          <w:rFonts w:ascii="Times New Roman" w:hAnsi="Times New Roman" w:cs="Times New Roman"/>
          <w:sz w:val="24"/>
          <w:szCs w:val="24"/>
        </w:rPr>
        <w:t xml:space="preserve"> </w:t>
      </w:r>
      <w:r w:rsidR="00257968">
        <w:rPr>
          <w:rFonts w:ascii="Times New Roman" w:hAnsi="Times New Roman" w:cs="Times New Roman"/>
          <w:sz w:val="24"/>
          <w:szCs w:val="24"/>
        </w:rPr>
        <w:fldChar w:fldCharType="begin" w:fldLock="1"/>
      </w:r>
      <w:r w:rsidR="00257968">
        <w:rPr>
          <w:rFonts w:ascii="Times New Roman" w:hAnsi="Times New Roman" w:cs="Times New Roman"/>
          <w:sz w:val="24"/>
          <w:szCs w:val="24"/>
        </w:rPr>
        <w:instrText>ADDIN CSL_CITATION {"citationItems":[{"id":"ITEM-1","itemData":{"DOI":"10.3390/bs13020171","ISSN":"2076-328X","abstract":"This study aims to examine consumer intention to purchase eco-friendly, handcrafted fashion products made from upcycled clothing and traditional Indonesian batik fabric. Data were collected via an online questionnaire with 289 participants, including both Indonesian and non-Indonesian consumers. The hypotheses were tested using structural equation modeling in SmartPLS 3. The results showed that fashion motivation and perceived value positively impacted the intention to purchase this type of product for personal use and for gifting. The perceived price had a positive effect on purchase intention for gifting. Altruistic motivations affected attitudes but not purchase intentions. Differences were identified between national and foreign consumers regarding the impact of price perception on attitudes and personal purchase intentions. The study provides practical implications for small businesses, artisan crafts, and entrepreneurs.","author":[{"dropping-particle":"","family":"Saepudin","given":"Dindin","non-dropping-particle":"","parse-names":false,"suffix":""},{"dropping-particle":"","family":"Shojaei","given":"Alireza Shabani","non-dropping-particle":"","parse-names":false,"suffix":""},{"dropping-particle":"","family":"Barbosa","given":"Belem","non-dropping-particle":"","parse-names":false,"suffix":""},{"dropping-particle":"","family":"Pedrosa","given":"Isabel","non-dropping-particle":"","parse-names":false,"suffix":""}],"container-title":"Behavioral Sciences","id":"ITEM-1","issue":"2","issued":{"date-parts":[["2023","2","14"]]},"page":"171","title":"Intention to Purchase Eco-Friendly Handcrafted Fashion Products for Gifting and Personal Use: A Comparison of National and Foreign Consumers","type":"article-journal","volume":"13"},"uris":["http://www.mendeley.com/documents/?uuid=7d4c0ef5-573c-4614-8e90-54ce34c610b9"]}],"mendeley":{"formattedCitation":"(Saepudin et al., 2023)","plainTextFormattedCitation":"(Saepudin et al., 2023)","previouslyFormattedCitation":"(Saepudin et al., 2023)"},"properties":{"noteIndex":0},"schema":"https://github.com/citation-style-language/schema/raw/master/csl-citation.json"}</w:instrText>
      </w:r>
      <w:r w:rsidR="00257968">
        <w:rPr>
          <w:rFonts w:ascii="Times New Roman" w:hAnsi="Times New Roman" w:cs="Times New Roman"/>
          <w:sz w:val="24"/>
          <w:szCs w:val="24"/>
        </w:rPr>
        <w:fldChar w:fldCharType="separate"/>
      </w:r>
      <w:r w:rsidR="00257968" w:rsidRPr="003172A6">
        <w:rPr>
          <w:rFonts w:ascii="Times New Roman" w:hAnsi="Times New Roman" w:cs="Times New Roman"/>
          <w:noProof/>
          <w:sz w:val="24"/>
          <w:szCs w:val="24"/>
        </w:rPr>
        <w:t>(Saepudin et al., 2023)</w:t>
      </w:r>
      <w:r w:rsidR="00257968">
        <w:rPr>
          <w:rFonts w:ascii="Times New Roman" w:hAnsi="Times New Roman" w:cs="Times New Roman"/>
          <w:sz w:val="24"/>
          <w:szCs w:val="24"/>
        </w:rPr>
        <w:fldChar w:fldCharType="end"/>
      </w:r>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Dalam</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beberapa</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literatur</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pemasaran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menunjukkan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bahwa</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studi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mengenai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sikap</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telah</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menarik</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perhatian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akademis</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lebih</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besar</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daripada</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konsep-konsep</w:t>
      </w:r>
      <w:proofErr w:type="spellEnd"/>
      <w:r w:rsidR="00257968">
        <w:rPr>
          <w:rFonts w:ascii="Times New Roman" w:hAnsi="Times New Roman" w:cs="Times New Roman"/>
          <w:sz w:val="24"/>
          <w:szCs w:val="24"/>
        </w:rPr>
        <w:t xml:space="preserve"> lain </w:t>
      </w:r>
      <w:r w:rsidR="00257968">
        <w:rPr>
          <w:rFonts w:ascii="Times New Roman" w:hAnsi="Times New Roman" w:cs="Times New Roman"/>
          <w:sz w:val="24"/>
          <w:szCs w:val="24"/>
        </w:rPr>
        <w:fldChar w:fldCharType="begin" w:fldLock="1"/>
      </w:r>
      <w:r w:rsidR="00257968">
        <w:rPr>
          <w:rFonts w:ascii="Times New Roman" w:hAnsi="Times New Roman" w:cs="Times New Roman"/>
          <w:sz w:val="24"/>
          <w:szCs w:val="24"/>
        </w:rPr>
        <w:instrText>ADDIN CSL_CITATION {"citationItems":[{"id":"ITEM-1","itemData":{"DOI":"10.1080/1331677X.2017.1421993","ISSN":"1331-677X","author":[{"dropping-particle":"","family":"Rizvi","given":"Wajid H.","non-dropping-particle":"","parse-names":false,"suffix":""},{"dropping-particle":"","family":"Oney","given":"Emrah","non-dropping-particle":"","parse-names":false,"suffix":""}],"container-title":"Economic Research-Ekonomska Istraživanja","id":"ITEM-1","issue":"1","issued":{"date-parts":[["2018","1","23"]]},"page":"158-170","title":"The influence of emotional confidence on brand attitude: using brand belief as mediating variable","type":"article-journal","volume":"31"},"uris":["http://www.mendeley.com/documents/?uuid=e3310fd3-21b7-4278-b61c-f4dee00bce32"]}],"mendeley":{"formattedCitation":"(Rizvi &amp; Oney, 2018)","plainTextFormattedCitation":"(Rizvi &amp; Oney, 2018)","previouslyFormattedCitation":"(Rizvi &amp; Oney, 2018)"},"properties":{"noteIndex":0},"schema":"https://github.com/citation-style-language/schema/raw/master/csl-citation.json"}</w:instrText>
      </w:r>
      <w:r w:rsidR="00257968">
        <w:rPr>
          <w:rFonts w:ascii="Times New Roman" w:hAnsi="Times New Roman" w:cs="Times New Roman"/>
          <w:sz w:val="24"/>
          <w:szCs w:val="24"/>
        </w:rPr>
        <w:fldChar w:fldCharType="separate"/>
      </w:r>
      <w:r w:rsidR="00257968" w:rsidRPr="00A107CA">
        <w:rPr>
          <w:rFonts w:ascii="Times New Roman" w:hAnsi="Times New Roman" w:cs="Times New Roman"/>
          <w:noProof/>
          <w:sz w:val="24"/>
          <w:szCs w:val="24"/>
        </w:rPr>
        <w:t>(Rizvi &amp; Oney, 2018)</w:t>
      </w:r>
      <w:r w:rsidR="00257968">
        <w:rPr>
          <w:rFonts w:ascii="Times New Roman" w:hAnsi="Times New Roman" w:cs="Times New Roman"/>
          <w:sz w:val="24"/>
          <w:szCs w:val="24"/>
        </w:rPr>
        <w:fldChar w:fldCharType="end"/>
      </w:r>
      <w:r w:rsidR="00257968">
        <w:rPr>
          <w:rFonts w:ascii="Times New Roman" w:hAnsi="Times New Roman" w:cs="Times New Roman"/>
          <w:sz w:val="24"/>
          <w:szCs w:val="24"/>
        </w:rPr>
        <w:t xml:space="preserve">. Hal </w:t>
      </w:r>
      <w:proofErr w:type="spellStart"/>
      <w:r w:rsidR="00257968">
        <w:rPr>
          <w:rFonts w:ascii="Times New Roman" w:hAnsi="Times New Roman" w:cs="Times New Roman"/>
          <w:sz w:val="24"/>
          <w:szCs w:val="24"/>
        </w:rPr>
        <w:t>ini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sekali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lagi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menunjukkan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bahwa</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sikap</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sebagai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prasyarat</w:t>
      </w:r>
      <w:proofErr w:type="spellEnd"/>
      <w:r w:rsidR="00257968">
        <w:rPr>
          <w:rFonts w:ascii="Times New Roman" w:hAnsi="Times New Roman" w:cs="Times New Roman"/>
          <w:sz w:val="24"/>
          <w:szCs w:val="24"/>
        </w:rPr>
        <w:t xml:space="preserve"> yang </w:t>
      </w:r>
      <w:proofErr w:type="spellStart"/>
      <w:r w:rsidR="00257968">
        <w:rPr>
          <w:rFonts w:ascii="Times New Roman" w:hAnsi="Times New Roman" w:cs="Times New Roman"/>
          <w:sz w:val="24"/>
          <w:szCs w:val="24"/>
        </w:rPr>
        <w:t>dapat</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mempengaruhi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perilaku</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konsumen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Seperti</w:t>
      </w:r>
      <w:proofErr w:type="spellEnd"/>
      <w:r w:rsidR="00257968">
        <w:rPr>
          <w:rFonts w:ascii="Times New Roman" w:hAnsi="Times New Roman" w:cs="Times New Roman"/>
          <w:sz w:val="24"/>
          <w:szCs w:val="24"/>
        </w:rPr>
        <w:t xml:space="preserve"> yang </w:t>
      </w:r>
      <w:proofErr w:type="spellStart"/>
      <w:r w:rsidR="00257968">
        <w:rPr>
          <w:rFonts w:ascii="Times New Roman" w:hAnsi="Times New Roman" w:cs="Times New Roman"/>
          <w:sz w:val="24"/>
          <w:szCs w:val="24"/>
        </w:rPr>
        <w:t>dijelaskan</w:t>
      </w:r>
      <w:proofErr w:type="spellEnd"/>
      <w:r w:rsidR="00257968">
        <w:rPr>
          <w:rFonts w:ascii="Times New Roman" w:hAnsi="Times New Roman" w:cs="Times New Roman"/>
          <w:sz w:val="24"/>
          <w:szCs w:val="24"/>
        </w:rPr>
        <w:t xml:space="preserve"> oleh </w:t>
      </w:r>
      <w:r w:rsidR="00257968">
        <w:rPr>
          <w:rFonts w:ascii="Times New Roman" w:hAnsi="Times New Roman" w:cs="Times New Roman"/>
          <w:sz w:val="24"/>
          <w:szCs w:val="24"/>
        </w:rPr>
        <w:fldChar w:fldCharType="begin" w:fldLock="1"/>
      </w:r>
      <w:r w:rsidR="00257968">
        <w:rPr>
          <w:rFonts w:ascii="Times New Roman" w:hAnsi="Times New Roman" w:cs="Times New Roman"/>
          <w:sz w:val="24"/>
          <w:szCs w:val="24"/>
        </w:rPr>
        <w:instrText>ADDIN CSL_CITATION {"citationItems":[{"id":"ITEM-1","itemData":{"DOI":"10.1108/EMJB-02-2025-0068","ISSN":"1450-2194","abstract":"PurposeGrounded in source credibility and the elaboration likelihood model (ELM), the current study examines the impact of influencers' credibility and consumer involvement on consumer attitudes and purchase intention, exploring potential changes in consumer behaviour before and after the COVID-19 pandemic. In addition, the mediating role of consumer involvement was examined.Design/methodology/approachA repeated cross-sectional research design was applied to compare consumer behaviour at two different time points. Two sets of data (pre-pandemic, consisting of 297 participants and post-pandemic, consisting of 307 participants) were collected through an online survey among female consumers of beauty products.FindingsThe findings confirm the positive effect of influencers' credibility on attitudes and consumer involvement. Moreover, the findings highlight the direct impact of consumer involvement on consumer attitudes and purchase intention. In addition, the mediating role of consumer involvement is supported. The comparison between pre- and post-pandemic periods revealed that influencers' credibility demonstrated a weaker effect on attitudes towards influencer-endorsed products after the pandemic. Conversely, consumer involvement had a strong influence on attitudes toward influencer-endorsed products after the pandemic.Practical implicationsThe findings, along with the comparison of the two data sets, provide theoretical and practical implications regarding the relationship between influencers' credibility and consumer involvement.Originality/valueThis study provides empirical evidence on consumer behaviour before and after the COVID-19 pandemic, using a repeated cross-sectional design to identify and compare changes in habits and attitudes across two distinct time periods.","author":[{"dropping-particle":"","family":"Shabani Shojaei","given":"Alireza","non-dropping-particle":"","parse-names":false,"suffix":""},{"dropping-particle":"","family":"Barbosa","given":"Belem","non-dropping-particle":"","parse-names":false,"suffix":""}],"container-title":"EuroMed Journal of Business","id":"ITEM-1","issue":"5","issued":{"date-parts":[["2025","12","12"]]},"page":"18-47","publisher":"Emerald","title":"The impact of influencers' credibility and consumer involvement on attitudes and purchase intention: a comparison before and after the pandemic","type":"article-journal","volume":"21"},"uris":["http://www.mendeley.com/documents/?uuid=9eabade8-b592-3153-845e-fe2a2cd00016"]}],"mendeley":{"formattedCitation":"(Shabani Shojaei &amp; Barbosa, 2025)","manualFormatting":"Shabani Shojaei &amp; Barbosa (2025)","plainTextFormattedCitation":"(Shabani Shojaei &amp; Barbosa, 2025)","previouslyFormattedCitation":"(Shabani Shojaei &amp; Barbosa, 2025)"},"properties":{"noteIndex":0},"schema":"https://github.com/citation-style-language/schema/raw/master/csl-citation.json"}</w:instrText>
      </w:r>
      <w:r w:rsidR="00257968">
        <w:rPr>
          <w:rFonts w:ascii="Times New Roman" w:hAnsi="Times New Roman" w:cs="Times New Roman"/>
          <w:sz w:val="24"/>
          <w:szCs w:val="24"/>
        </w:rPr>
        <w:fldChar w:fldCharType="separate"/>
      </w:r>
      <w:r w:rsidR="00257968" w:rsidRPr="00E8310A">
        <w:rPr>
          <w:rFonts w:ascii="Times New Roman" w:hAnsi="Times New Roman" w:cs="Times New Roman"/>
          <w:noProof/>
          <w:sz w:val="24"/>
          <w:szCs w:val="24"/>
        </w:rPr>
        <w:t xml:space="preserve">Shabani Shojaei &amp; Barbosa </w:t>
      </w:r>
      <w:r w:rsidR="00257968">
        <w:rPr>
          <w:rFonts w:ascii="Times New Roman" w:hAnsi="Times New Roman" w:cs="Times New Roman"/>
          <w:noProof/>
          <w:sz w:val="24"/>
          <w:szCs w:val="24"/>
        </w:rPr>
        <w:t>(</w:t>
      </w:r>
      <w:r w:rsidR="00257968" w:rsidRPr="00E8310A">
        <w:rPr>
          <w:rFonts w:ascii="Times New Roman" w:hAnsi="Times New Roman" w:cs="Times New Roman"/>
          <w:noProof/>
          <w:sz w:val="24"/>
          <w:szCs w:val="24"/>
        </w:rPr>
        <w:t>2025)</w:t>
      </w:r>
      <w:r w:rsidR="00257968">
        <w:rPr>
          <w:rFonts w:ascii="Times New Roman" w:hAnsi="Times New Roman" w:cs="Times New Roman"/>
          <w:sz w:val="24"/>
          <w:szCs w:val="24"/>
        </w:rPr>
        <w:fldChar w:fldCharType="end"/>
      </w:r>
      <w:r w:rsidR="00257968">
        <w:rPr>
          <w:rFonts w:ascii="Times New Roman" w:hAnsi="Times New Roman" w:cs="Times New Roman"/>
          <w:sz w:val="24"/>
          <w:szCs w:val="24"/>
        </w:rPr>
        <w:t xml:space="preserve">, yang </w:t>
      </w:r>
      <w:proofErr w:type="spellStart"/>
      <w:r w:rsidR="00257968">
        <w:rPr>
          <w:rFonts w:ascii="Times New Roman" w:hAnsi="Times New Roman" w:cs="Times New Roman"/>
          <w:sz w:val="24"/>
          <w:szCs w:val="24"/>
        </w:rPr>
        <w:t>menegaskan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kembali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bahwa</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sikap</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merupakan</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variabel</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utama</w:t>
      </w:r>
      <w:proofErr w:type="spellEnd"/>
      <w:r w:rsidR="00257968">
        <w:rPr>
          <w:rFonts w:ascii="Times New Roman" w:hAnsi="Times New Roman" w:cs="Times New Roman"/>
          <w:sz w:val="24"/>
          <w:szCs w:val="24"/>
        </w:rPr>
        <w:t xml:space="preserve"> yang </w:t>
      </w:r>
      <w:proofErr w:type="spellStart"/>
      <w:r w:rsidR="00257968">
        <w:rPr>
          <w:rFonts w:ascii="Times New Roman" w:hAnsi="Times New Roman" w:cs="Times New Roman"/>
          <w:sz w:val="24"/>
          <w:szCs w:val="24"/>
        </w:rPr>
        <w:t>dapat</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mempengaruhi</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perilaku</w:t>
      </w:r>
      <w:proofErr w:type="spellEnd"/>
      <w:r w:rsidR="00257968">
        <w:rPr>
          <w:rFonts w:ascii="Times New Roman" w:hAnsi="Times New Roman" w:cs="Times New Roman"/>
          <w:sz w:val="24"/>
          <w:szCs w:val="24"/>
        </w:rPr>
        <w:t xml:space="preserve"> </w:t>
      </w:r>
      <w:proofErr w:type="spellStart"/>
      <w:r w:rsidR="00257968">
        <w:rPr>
          <w:rFonts w:ascii="Times New Roman" w:hAnsi="Times New Roman" w:cs="Times New Roman"/>
          <w:sz w:val="24"/>
          <w:szCs w:val="24"/>
        </w:rPr>
        <w:t>konsumen</w:t>
      </w:r>
      <w:proofErr w:type="spellEnd"/>
      <w:r w:rsidR="00257968">
        <w:rPr>
          <w:rFonts w:ascii="Times New Roman" w:hAnsi="Times New Roman" w:cs="Times New Roman"/>
          <w:sz w:val="24"/>
          <w:szCs w:val="24"/>
        </w:rPr>
        <w:t>.</w:t>
      </w:r>
    </w:p>
    <w:p w14:paraId="10ECCF7A" w14:textId="04431E34" w:rsidR="00257968" w:rsidRDefault="0017578E"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Pengaruh</w:t>
      </w:r>
      <w:proofErr w:type="spellEnd"/>
      <w:r>
        <w:rPr>
          <w:rFonts w:ascii="Times New Roman" w:hAnsi="Times New Roman" w:cs="Times New Roman"/>
          <w:b/>
          <w:bCs/>
          <w:sz w:val="24"/>
          <w:szCs w:val="24"/>
        </w:rPr>
        <w:t xml:space="preserve"> Norma </w:t>
      </w:r>
      <w:proofErr w:type="spellStart"/>
      <w:r>
        <w:rPr>
          <w:rFonts w:ascii="Times New Roman" w:hAnsi="Times New Roman" w:cs="Times New Roman"/>
          <w:b/>
          <w:bCs/>
          <w:sz w:val="24"/>
          <w:szCs w:val="24"/>
        </w:rPr>
        <w:t>Subjektif</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Keputusan </w:t>
      </w:r>
      <w:proofErr w:type="spellStart"/>
      <w:r>
        <w:rPr>
          <w:rFonts w:ascii="Times New Roman" w:hAnsi="Times New Roman" w:cs="Times New Roman"/>
          <w:b/>
          <w:bCs/>
          <w:sz w:val="24"/>
          <w:szCs w:val="24"/>
        </w:rPr>
        <w:t>Pembelian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Produk</w:t>
      </w:r>
      <w:proofErr w:type="spellEnd"/>
      <w:r>
        <w:rPr>
          <w:rFonts w:ascii="Times New Roman" w:hAnsi="Times New Roman" w:cs="Times New Roman"/>
          <w:b/>
          <w:bCs/>
          <w:sz w:val="24"/>
          <w:szCs w:val="24"/>
        </w:rPr>
        <w:t xml:space="preserve"> Kopi </w:t>
      </w:r>
      <w:proofErr w:type="spellStart"/>
      <w:r>
        <w:rPr>
          <w:rFonts w:ascii="Times New Roman" w:hAnsi="Times New Roman" w:cs="Times New Roman"/>
          <w:b/>
          <w:bCs/>
          <w:sz w:val="24"/>
          <w:szCs w:val="24"/>
        </w:rPr>
        <w:t>Keliling</w:t>
      </w:r>
      <w:proofErr w:type="spellEnd"/>
    </w:p>
    <w:p w14:paraId="57C62D95" w14:textId="190BFBF5" w:rsidR="0017578E" w:rsidRDefault="0017578E" w:rsidP="00175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nor,ma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subjekitf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ditanamkan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{"citationItems":[{"id":"ITEM-1","itemData":{"DOI":"10.1111/cag.12519","ISSN":"0008-3658","author":[{"dropping-particle":"","family":"Werf","given":"Paul","non-dropping-particle":"van der","parse-names":false,"suffix":""},{"dropping-particle":"","family":"Seabrook","given":"Jamie A.","non-dropping-particle":"","parse-names":false,"suffix":""},{"dropping-particle":"","family":"Gilliland","given":"Jason A.","non-dropping-particle":"","parse-names":false,"suffix":""}],"container-title":"Canadian Geographies / Géographies canadiennes","id":"ITEM-1","issue":"3","issued":{"date-parts":[["2019","9","18"]]},"page":"478-493","title":"Food for naught: Using the theory of planned behaviour to better understand household food wasting behaviour","type":"article-journal","volume":"63"},"uris":["http://www.mendeley.com/documents/?uuid=4ab78122-f2bc-4ece-b05e-28a5a856c317"]}],"mendeley":{"formattedCitation":"(van der Werf et al., 2019)","plainTextFormattedCitation":"(van der Werf et al., 2019)","previouslyFormattedCitation":"(van der Werf et al., 2019)"},"properties":{"noteIndex":0},"schema":"https://github.com/citation-style-language/schema/raw/master/csl-citation.json"}</w:instrText>
      </w:r>
      <w:r>
        <w:rPr>
          <w:rFonts w:ascii="Times New Roman" w:hAnsi="Times New Roman" w:cs="Times New Roman"/>
          <w:sz w:val="24"/>
          <w:szCs w:val="24"/>
        </w:rPr>
        <w:fldChar w:fldCharType="separate"/>
      </w:r>
      <w:r w:rsidRPr="005E1153">
        <w:rPr>
          <w:rFonts w:ascii="Times New Roman" w:hAnsi="Times New Roman" w:cs="Times New Roman"/>
          <w:noProof/>
          <w:sz w:val="24"/>
          <w:szCs w:val="24"/>
        </w:rPr>
        <w:t>(van der Werf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pasar kopi yang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r w:rsidRPr="00DD50C8">
        <w:rPr>
          <w:rFonts w:ascii="Times New Roman" w:hAnsi="Times New Roman" w:cs="Times New Roman"/>
          <w:i/>
          <w:iCs/>
          <w:sz w:val="24"/>
          <w:szCs w:val="24"/>
        </w:rPr>
        <w:t xml:space="preserve">brand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berperilaku</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{"citationItems":[{"id":"ITEM-1","itemData":{"DOI":"10.1016/J.HELIYON.2023.E20244","ISSN":"2405-8440","abstract":"Emissions from transportation fuel vehicles are polluting the environment more than ever before. Currently, autonomous delivery vehicles (ADVs) are welcomed by logistics service providers and lots of consumers in general for their significant contribution in reducing environmental pollution and increasing delivery efficiency. However, there is a lack of in-depth research on consumers' willingness to adopt ADVs, despite the fact that ADVs are innovative delivery method in the field of last-mile delivery. The purpose of the study is to expand the existing knowledge of consumers' adoption behaviors by developing and testing the extended Value-Belief-Norm (VBN) theory in autonomous delivery literature. In particular, the study adds subjective norms and COVID-19 risk into the original VBN model as a theoretical framework to gain a comprehensive understanding of the consumer decision-making processes with respect to their intentions to use ADVs. Structural equation modeling is conducted using data from a web-based survey of 561 consumers through an online sample platform. The results of the study demonstrated that both subjective norms and COVID-19 risk are all related with consumers’ intention to use ADVs. The casual chain hypotheses of the extend VBN theory mentioned in our study are all supported. The results of the study make significant theoretical and managerial contributions to the field of last-mile delivery and the adoption behaviors of emerging technologies.","author":[{"dropping-particle":"","family":"Chunhua","given":"Ju","non-dropping-particle":"","parse-names":false,"suffix":""},{"dropping-particle":"","family":"Shuo","given":"Wang","non-dropping-particle":"","parse-names":false,"suffix":""},{"dropping-particle":"","family":"Zhirong","given":"Hu","non-dropping-particle":"","parse-names":false,"suffix":""},{"dropping-particle":"","family":"Li-Wei","given":"Lin","non-dropping-particle":"","parse-names":false,"suffix":""},{"dropping-particle":"","family":"Jing","given":"Yu","non-dropping-particle":"","parse-names":false,"suffix":""}],"container-title":"Heliyon","id":"ITEM-1","issue":"9","issued":{"date-parts":[["2023","9","1"]]},"page":"e20244","publisher":"Elsevier","title":"Application of the extended value-belief-norm (VBN) theory to understand consumers’ intention to use autonomous delivery vehicles (ADVs)","type":"article-journal","volume":"9"},"uris":["http://www.mendeley.com/documents/?uuid=d4e26af7-3b55-3df3-8be2-526b622a1262"]}],"mendeley":{"formattedCitation":"(Chunhua et al., 2023)","plainTextFormattedCitation":"(Chunhua et al., 2023)","previouslyFormattedCitation":"(Chunhua et al., 2023)"},"properties":{"noteIndex":0},"schema":"https://github.com/citation-style-language/schema/raw/master/csl-citation.json"}</w:instrText>
      </w:r>
      <w:r>
        <w:rPr>
          <w:rFonts w:ascii="Times New Roman" w:hAnsi="Times New Roman" w:cs="Times New Roman"/>
          <w:sz w:val="24"/>
          <w:szCs w:val="24"/>
        </w:rPr>
        <w:fldChar w:fldCharType="separate"/>
      </w:r>
      <w:r w:rsidRPr="002106A2">
        <w:rPr>
          <w:rFonts w:ascii="Times New Roman" w:hAnsi="Times New Roman" w:cs="Times New Roman"/>
          <w:noProof/>
          <w:sz w:val="24"/>
          <w:szCs w:val="24"/>
        </w:rPr>
        <w:t>(Chunhua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penelitain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{"citationItems":[{"id":"ITEM-1","itemData":{"DOI":"10.1016/J.HELIYON.2023.E16657","ISSN":"2405-8440","abstract":"Despite persistent challenges, Bangladesh's dairy sector has been noticeable for a few decades. Although agriculture is the major contributor to GDP, dairy farming may play a crucial role in the economy by creating jobs, ensuring food security, and boosting the protein content of people's diets. This research aims to identify the direct and indirect factors influencing dairy product purchase intention amongst Bangladeshi consumers. Data were collected online using Google forms, and the convenience sampling technique was used to reach the consumers. The total sample size was 310. The collected data were analyzed using descriptive and multivariate techniques. Structural Equation Modeling results reveal that marketing mix and attitude are statistically significant with the intention to purchase dairy products. Also, the marketing mix influences the consumers' attitudes, subjective norms, and perceived behavioral control. However, there is no significant association between perceived behavioral control and subjective norm on intention to purchase. The findings suggest developing better products, ensuring reasonable pricing, performing promotional strategies, and proper placement to attract and increase consumers' intention to purchase dairy products.","author":[{"dropping-particle":"","family":"Farid","given":"Md Shaikh","non-dropping-particle":"","parse-names":false,"suffix":""},{"dropping-particle":"","family":"Cavicchi","given":"Alessio","non-dropping-particle":"","parse-names":false,"suffix":""},{"dropping-particle":"","family":"Rahman","given":"Md Mostafizur","non-dropping-particle":"","parse-names":false,"suffix":""},{"dropping-particle":"","family":"Barua","given":"Swarup","non-dropping-particle":"","parse-names":false,"suffix":""},{"dropping-particle":"","family":"Ethen","given":"Dilshad Zahan","non-dropping-particle":"","parse-names":false,"suffix":""},{"dropping-particle":"","family":"Happy","given":"Fardous Ara","non-dropping-particle":"","parse-names":false,"suffix":""},{"dropping-particle":"","family":"Rasheduzzaman","given":"Md","non-dropping-particle":"","parse-names":false,"suffix":""},{"dropping-particle":"","family":"Sharma","given":"Dabasis","non-dropping-particle":"","parse-names":false,"suffix":""},{"dropping-particle":"","family":"Alam","given":"Mohammad Jahangir","non-dropping-particle":"","parse-names":false,"suffix":""}],"container-title":"Heliyon","id":"ITEM-1","issue":"6","issued":{"date-parts":[["2023","6","1"]]},"page":"e16657","publisher":"Elsevier","title":"Assessment of marketing mix associated with consumer's purchase intention of dairy products in Bangladesh: Application of an extended theory of planned behavior","type":"article-journal","volume":"9"},"uris":["http://www.mendeley.com/documents/?uuid=31ea559d-1d14-38f1-864b-99159128d580"]}],"mendeley":{"formattedCitation":"(Farid et al., 2023)","manualFormatting":"Farid et al (2023)","plainTextFormattedCitation":"(Farid et al., 2023)","previouslyFormattedCitation":"(Farid et al., 2023)"},"properties":{"noteIndex":0},"schema":"https://github.com/citation-style-language/schema/raw/master/csl-citation.json"}</w:instrText>
      </w:r>
      <w:r>
        <w:rPr>
          <w:rFonts w:ascii="Times New Roman" w:hAnsi="Times New Roman" w:cs="Times New Roman"/>
          <w:sz w:val="24"/>
          <w:szCs w:val="24"/>
        </w:rPr>
        <w:fldChar w:fldCharType="separate"/>
      </w:r>
      <w:r w:rsidRPr="001E7B1E">
        <w:rPr>
          <w:rFonts w:ascii="Times New Roman" w:hAnsi="Times New Roman" w:cs="Times New Roman"/>
          <w:noProof/>
          <w:sz w:val="24"/>
          <w:szCs w:val="24"/>
        </w:rPr>
        <w:t>Farid et al</w:t>
      </w:r>
      <w:r>
        <w:rPr>
          <w:rFonts w:ascii="Times New Roman" w:hAnsi="Times New Roman" w:cs="Times New Roman"/>
          <w:noProof/>
          <w:sz w:val="24"/>
          <w:szCs w:val="24"/>
        </w:rPr>
        <w:t xml:space="preserve"> (</w:t>
      </w:r>
      <w:r w:rsidRPr="001E7B1E">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di mana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
    <w:p w14:paraId="68CF89AA" w14:textId="5593558C" w:rsidR="0017578E" w:rsidRDefault="0017578E" w:rsidP="00175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menganai</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TPB, yang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nomra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{"citationItems":[{"id":"ITEM-1","itemData":{"DOI":"10.1177/0146167292181001","ISSN":"0146-1672","abstract":"Research in social psychology has extensively referenced and used Fishbein and Ajzen's theory of reasoned action to predict and understand motivational influences on behavior Recently Ajzen has proposed an extension of the theory by including perceptions of behavioral control as an additional predictor of intentions and behavior. The present research compared Ajzen's theory of planned behavior with the theory of reasoned action for 10 behaviors chosen to represent a range with respect to control over performing the behavior. he results indicate that inclusion of perceived behavioral control enhances the prediction of behavioral intention and behavior Consistent with the theory of planned behavior, the effects of perceived behavioral control on a target behavior are most vivid when the behavior presents some problem with respect to control.","author":[{"dropping-particle":"","family":"Madden","given":"Thomas J.","non-dropping-particle":"","parse-names":false,"suffix":""},{"dropping-particle":"","family":"Ellen","given":"Pamela Scholder","non-dropping-particle":"","parse-names":false,"suffix":""},{"dropping-particle":"","family":"Ajzen","given":"Icek","non-dropping-particle":"","parse-names":false,"suffix":""}],"container-title":"Personality and Social Psychology Bulletin","id":"ITEM-1","issue":"1","issued":{"date-parts":[["1992","2","1"]]},"page":"3-9","title":"A Comparison of the Theory of Planned Behavior and the Theory of Reasoned Action","type":"article-journal","volume":"18"},"uris":["http://www.mendeley.com/documents/?uuid=dbf5d52f-734d-4057-9a77-6184408b5df4"]}],"mendeley":{"formattedCitation":"(Madden et al., 1992)","plainTextFormattedCitation":"(Madden et al., 1992)","previouslyFormattedCitation":"(Madden et al., 1992)"},"properties":{"noteIndex":0},"schema":"https://github.com/citation-style-language/schema/raw/master/csl-citation.json"}</w:instrText>
      </w:r>
      <w:r>
        <w:rPr>
          <w:rFonts w:ascii="Times New Roman" w:hAnsi="Times New Roman" w:cs="Times New Roman"/>
          <w:sz w:val="24"/>
          <w:szCs w:val="24"/>
        </w:rPr>
        <w:fldChar w:fldCharType="separate"/>
      </w:r>
      <w:r w:rsidRPr="00A22CA0">
        <w:rPr>
          <w:rFonts w:ascii="Times New Roman" w:hAnsi="Times New Roman" w:cs="Times New Roman"/>
          <w:noProof/>
          <w:sz w:val="24"/>
          <w:szCs w:val="24"/>
        </w:rPr>
        <w:t>(Madden et al., 1992)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Menelaah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kopi.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Lombok.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tokoh-tokoh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selebriti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semacamnya</w:t>
      </w:r>
      <w:proofErr w:type="spellEnd"/>
      <w:r>
        <w:rPr>
          <w:rFonts w:ascii="Times New Roman" w:hAnsi="Times New Roman" w:cs="Times New Roman"/>
          <w:sz w:val="24"/>
          <w:szCs w:val="24"/>
        </w:rPr>
        <w:t xml:space="preserve"> guna </w:t>
      </w:r>
      <w:proofErr w:type="spellStart"/>
      <w:r>
        <w:rPr>
          <w:rFonts w:ascii="Times New Roman" w:hAnsi="Times New Roman" w:cs="Times New Roman"/>
          <w:sz w:val="24"/>
          <w:szCs w:val="24"/>
        </w:rPr>
        <w:t>merangsang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w:t>
      </w:r>
    </w:p>
    <w:p w14:paraId="602CC51C" w14:textId="77777777" w:rsidR="0017578E" w:rsidRDefault="0017578E" w:rsidP="00175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03259333" w14:textId="7314EE79" w:rsidR="0017578E" w:rsidRDefault="00301B18" w:rsidP="00175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Pengaruh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Kontrol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Perilaku</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Dirasakan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Keputusan </w:t>
      </w:r>
      <w:proofErr w:type="spellStart"/>
      <w:r>
        <w:rPr>
          <w:rFonts w:ascii="Times New Roman" w:hAnsi="Times New Roman" w:cs="Times New Roman"/>
          <w:b/>
          <w:bCs/>
          <w:sz w:val="24"/>
          <w:szCs w:val="24"/>
        </w:rPr>
        <w:t>Pembelian</w:t>
      </w:r>
      <w:proofErr w:type="spellEnd"/>
      <w:r>
        <w:rPr>
          <w:rFonts w:ascii="Times New Roman" w:hAnsi="Times New Roman" w:cs="Times New Roman"/>
          <w:b/>
          <w:bCs/>
          <w:sz w:val="24"/>
          <w:szCs w:val="24"/>
        </w:rPr>
        <w:t xml:space="preserve"> Kopi </w:t>
      </w:r>
      <w:proofErr w:type="spellStart"/>
      <w:r>
        <w:rPr>
          <w:rFonts w:ascii="Times New Roman" w:hAnsi="Times New Roman" w:cs="Times New Roman"/>
          <w:b/>
          <w:bCs/>
          <w:sz w:val="24"/>
          <w:szCs w:val="24"/>
        </w:rPr>
        <w:t>Keliling</w:t>
      </w:r>
      <w:proofErr w:type="spellEnd"/>
    </w:p>
    <w:p w14:paraId="1500C89C" w14:textId="46EF815C" w:rsidR="00301B18" w:rsidRDefault="00301B18" w:rsidP="00301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{"citationItems":[{"id":"ITEM-1","itemData":{"DOI":"10.1016/J.HELIYON.2023.E16657","ISSN":"2405-8440","abstract":"Despite persistent challenges, Bangladesh's dairy sector has been noticeable for a few decades. Although agriculture is the major contributor to GDP, dairy farming may play a crucial role in the economy by creating jobs, ensuring food security, and boosting the protein content of people's diets. This research aims to identify the direct and indirect factors influencing dairy product purchase intention amongst Bangladeshi consumers. Data were collected online using Google forms, and the convenience sampling technique was used to reach the consumers. The total sample size was 310. The collected data were analyzed using descriptive and multivariate techniques. Structural Equation Modeling results reveal that marketing mix and attitude are statistically significant with the intention to purchase dairy products. Also, the marketing mix influences the consumers' attitudes, subjective norms, and perceived behavioral control. However, there is no significant association between perceived behavioral control and subjective norm on intention to purchase. The findings suggest developing better products, ensuring reasonable pricing, performing promotional strategies, and proper placement to attract and increase consumers' intention to purchase dairy products.","author":[{"dropping-particle":"","family":"Farid","given":"Md Shaikh","non-dropping-particle":"","parse-names":false,"suffix":""},{"dropping-particle":"","family":"Cavicchi","given":"Alessio","non-dropping-particle":"","parse-names":false,"suffix":""},{"dropping-particle":"","family":"Rahman","given":"Md Mostafizur","non-dropping-particle":"","parse-names":false,"suffix":""},{"dropping-particle":"","family":"Barua","given":"Swarup","non-dropping-particle":"","parse-names":false,"suffix":""},{"dropping-particle":"","family":"Ethen","given":"Dilshad Zahan","non-dropping-particle":"","parse-names":false,"suffix":""},{"dropping-particle":"","family":"Happy","given":"Fardous Ara","non-dropping-particle":"","parse-names":false,"suffix":""},{"dropping-particle":"","family":"Rasheduzzaman","given":"Md","non-dropping-particle":"","parse-names":false,"suffix":""},{"dropping-particle":"","family":"Sharma","given":"Dabasis","non-dropping-particle":"","parse-names":false,"suffix":""},{"dropping-particle":"","family":"Alam","given":"Mohammad Jahangir","non-dropping-particle":"","parse-names":false,"suffix":""}],"container-title":"Heliyon","id":"ITEM-1","issue":"6","issued":{"date-parts":[["2023","6","1"]]},"page":"e16657","publisher":"Elsevier","title":"Assessment of marketing mix associated with consumer's purchase intention of dairy products in Bangladesh: Application of an extended theory of planned behavior","type":"article-journal","volume":"9"},"uris":["http://www.mendeley.com/documents/?uuid=31ea559d-1d14-38f1-864b-99159128d580"]}],"mendeley":{"formattedCitation":"(Farid et al., 2023)","plainTextFormattedCitation":"(Farid et al., 2023)","previouslyFormattedCitation":"(Farid et al., 2023)"},"properties":{"noteIndex":0},"schema":"https://github.com/citation-style-language/schema/raw/master/csl-citation.json"}</w:instrText>
      </w:r>
      <w:r>
        <w:rPr>
          <w:rFonts w:ascii="Times New Roman" w:hAnsi="Times New Roman" w:cs="Times New Roman"/>
          <w:sz w:val="24"/>
          <w:szCs w:val="24"/>
        </w:rPr>
        <w:fldChar w:fldCharType="separate"/>
      </w:r>
      <w:r w:rsidRPr="00FE0E61">
        <w:rPr>
          <w:rFonts w:ascii="Times New Roman" w:hAnsi="Times New Roman" w:cs="Times New Roman"/>
          <w:noProof/>
          <w:sz w:val="24"/>
          <w:szCs w:val="24"/>
        </w:rPr>
        <w:t>(Farid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di Lombok,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beredar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71D8D993" w14:textId="3F01E65E" w:rsidR="00301B18" w:rsidRDefault="00301B18" w:rsidP="00301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Kontro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guna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{"citationItems":[{"id":"ITEM-1","itemData":{"DOI":"10.1037/H0034845","ISSN":"00332909","abstract":"Reviews experimental research relating types of personal control to the experience of stress. 3 main types of personal control may be distinguished: (a) behavioral (direct action on the environment), (b) cognitive (the interpretation of events), and (c) decisional (having a choice among alternative courses of action). Each type of control is related to stress in a complex fashion, sometimes increasing it, sometimes reducing it, and sometimes having no influence at all. It may be generally said that the relationship of personal control to stress is primarily a function of the meaning of the control response for the individual, i.e., the stress-inducing or stress-reducing properties of personal control depend upon the nature of the response and the context in which it is embedded and not just upon its effectiveness in preventing or mitigating the impact of a potentially harmful stimulus. (66 ref.) (PsycINFO Database Record (c) 2006 APA, all rights reserved). © 1973 American Psychological Association.","author":[{"dropping-particle":"","family":"Averill","given":"James R.","non-dropping-particle":"","parse-names":false,"suffix":""}],"container-title":"Psychological Bulletin","id":"ITEM-1","issue":"4","issued":{"date-parts":[["1973","10"]]},"page":"286-303","title":"Personal control over aversive stimuli and its relationship to stress","type":"article-journal","volume":"80"},"uris":["http://www.mendeley.com/documents/?uuid=f96482d2-36ed-3f59-9e04-41969bae3bc5"]}],"mendeley":{"formattedCitation":"(Averill, 1973)","plainTextFormattedCitation":"(Averill, 1973)","previouslyFormattedCitation":"(Averill, 1973)"},"properties":{"noteIndex":0},"schema":"https://github.com/citation-style-language/schema/raw/master/csl-citation.json"}</w:instrText>
      </w:r>
      <w:r>
        <w:rPr>
          <w:rFonts w:ascii="Times New Roman" w:hAnsi="Times New Roman" w:cs="Times New Roman"/>
          <w:sz w:val="24"/>
          <w:szCs w:val="24"/>
        </w:rPr>
        <w:fldChar w:fldCharType="separate"/>
      </w:r>
      <w:r w:rsidRPr="00D01138">
        <w:rPr>
          <w:rFonts w:ascii="Times New Roman" w:hAnsi="Times New Roman" w:cs="Times New Roman"/>
          <w:noProof/>
          <w:sz w:val="24"/>
          <w:szCs w:val="24"/>
        </w:rPr>
        <w:t>(Averill, 1973)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konsumsi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{"citationItems":[{"id":"ITEM-1","itemData":{"DOI":"10.7475/KJAN.2023.35.3.254","ISBN":"2023.35.3.254","ISSN":"2288-338X","abstract":"Purpose: The aim of this study was to identify factors associated with stress among Korean cancer survivors who are employed. Methods: A cross-sectional descriptive methodology was applied, and secondary analysis was performed using data from the Korea National Health and Nutrition Examination Survey from 2014 to 2018. A total of 245 employed cancer survivors were included, and data were analyzed using either the x2 test or the independent t-test, as well as multiple logistic regression analysis. Results: Four factors were found to be associated with stress among employed cancer survivors: age (Odds Ratio [OR]=0.96, 95% Confidence Interval [CI]=0.94~0.98), gender (with men less likely to be stressed, OR=0.46, 95% CI=0.23~0.91), self-rated health status (OR=1.44, 95% CI=1.03~2.02), and having planned suicide in the previous year (OR=22.98, 95% CI=2.10~251.83). Conclusion: To facilitate a successful return to work for cancer survivors, it is necessary to develop a stress intervention and/or rehabilitation program that comprehensively considers sociodemographic characteristics, current health status, health behaviors, and mental health.","author":[{"dropping-particle":"","family":"Kisook","given":"Kim","non-dropping-particle":"","parse-names":false,"suffix":""},{"dropping-particle":"","family":"Booyoung","given":"Oh","non-dropping-particle":"","parse-names":false,"suffix":""}],"container-title":"Korean Journal of Adult Nursing","id":"ITEM-1","issue":"3","issued":{"date-parts":[["2023","8","1"]]},"page":"254-263","publisher":"Korean Society of Adult Nursing","title":"Factors Associated with Stress among Employed Korean Cancer Survivors: A Cross-sectional Descriptive Study Based on National Data","type":"article-journal","volume":"35"},"uris":["http://www.mendeley.com/documents/?uuid=f0b99913-e622-37e4-b7c7-12f90ba30d1d"]}],"mendeley":{"formattedCitation":"(Kisook &amp; Booyoung, 2023)","plainTextFormattedCitation":"(Kisook &amp; Booyoung, 2023)","previouslyFormattedCitation":"(Kisook &amp; Booyoung, 2023)"},"properties":{"noteIndex":0},"schema":"https://github.com/citation-style-language/schema/raw/master/csl-citation.json"}</w:instrText>
      </w:r>
      <w:r>
        <w:rPr>
          <w:rFonts w:ascii="Times New Roman" w:hAnsi="Times New Roman" w:cs="Times New Roman"/>
          <w:sz w:val="24"/>
          <w:szCs w:val="24"/>
        </w:rPr>
        <w:fldChar w:fldCharType="separate"/>
      </w:r>
      <w:r w:rsidRPr="00647CC4">
        <w:rPr>
          <w:rFonts w:ascii="Times New Roman" w:hAnsi="Times New Roman" w:cs="Times New Roman"/>
          <w:noProof/>
          <w:sz w:val="24"/>
          <w:szCs w:val="24"/>
        </w:rPr>
        <w:t>(Kisook &amp; Booyoung, 2023)</w:t>
      </w:r>
      <w:r>
        <w:rPr>
          <w:rFonts w:ascii="Times New Roman" w:hAnsi="Times New Roman" w:cs="Times New Roman"/>
          <w:sz w:val="24"/>
          <w:szCs w:val="24"/>
        </w:rPr>
        <w:fldChar w:fldCharType="end"/>
      </w:r>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kekuasaan</w:t>
      </w:r>
      <w:proofErr w:type="spellEnd"/>
      <w:r>
        <w:rPr>
          <w:rFonts w:ascii="Times New Roman" w:hAnsi="Times New Roman" w:cs="Times New Roman"/>
          <w:sz w:val="24"/>
          <w:szCs w:val="24"/>
        </w:rPr>
        <w:t xml:space="preserve"> di pasar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{"citationItems":[{"id":"ITEM-1","itemData":{"ISBN":"9786235712567","author":[{"dropping-particle":"","family":"Lubis","given":"Aurora Tuna","non-dropping-particle":"","parse-names":false,"suffix":""},{"dropping-particle":"","family":"Nizoru","given":"Addion","non-dropping-particle":"","parse-names":false,"suffix":""},{"dropping-particle":"","family":"Firmansyah","given":"","non-dropping-particle":"","parse-names":false,"suffix":""},{"dropping-particle":"","family":"Dewi","given":"Erwita","non-dropping-particle":"","parse-names":false,"suffix":""},{"dropping-particle":"","family":"Ningsih","given":"Maryati","non-dropping-particle":"","parse-names":false,"suffix":""}],"id":"ITEM-1","issued":{"date-parts":[["2022"]]},"number-of-pages":"67-70","publisher":"Salim Media","publisher-place":"Jambi","title":"Gastronomi Sebagai Penopang Pariwisata","type":"book"},"uris":["http://www.mendeley.com/documents/?uuid=47ee0c64-a5e4-4a80-922f-2d415eb36767"]}],"mendeley":{"formattedCitation":"(Lubis et al., 2022)","plainTextFormattedCitation":"(Lubis et al., 2022)","previouslyFormattedCitation":"(Lubis et al., 2022)"},"properties":{"noteIndex":0},"schema":"https://github.com/citation-style-language/schema/raw/master/csl-citation.json"}</w:instrText>
      </w:r>
      <w:r>
        <w:rPr>
          <w:rFonts w:ascii="Times New Roman" w:hAnsi="Times New Roman" w:cs="Times New Roman"/>
          <w:sz w:val="24"/>
          <w:szCs w:val="24"/>
        </w:rPr>
        <w:fldChar w:fldCharType="separate"/>
      </w:r>
      <w:r w:rsidRPr="00DD6A46">
        <w:rPr>
          <w:rFonts w:ascii="Times New Roman" w:hAnsi="Times New Roman" w:cs="Times New Roman"/>
          <w:noProof/>
          <w:sz w:val="24"/>
          <w:szCs w:val="24"/>
        </w:rPr>
        <w:t>(Lubis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informssi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menunjuukkan</w:t>
      </w:r>
      <w:proofErr w:type="spellEnd"/>
      <w:r>
        <w:rPr>
          <w:rFonts w:ascii="Times New Roman" w:hAnsi="Times New Roman" w:cs="Times New Roman"/>
          <w:sz w:val="24"/>
          <w:szCs w:val="24"/>
        </w:rPr>
        <w:t xml:space="preserve"> control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{"citationItems":[{"id":"ITEM-1","itemData":{"DOI":"10.1016/J.JRETCONSER.2026.104811","ISSN":"0969-6989","abstract":"Despite the considerable body of literature underscoring the critical significance of consumer empowerment, the intricate process of consumer empowerment remains insufficiently understood. To rectify this issue, the present study draws on the theoretical frameworks of learned hopefulness and perceived control to investigate the relationship between perceived control and perceived power. It posits that the three dimensions of perceived control—namely, cognitive control, decisional control, and behavioral control—lead to a sense of power for consumers, which encompasses both social power and personal power. We implemented a cross-sectional survey involving 501 participants who were recruited from Prolific. We scrutinized the proposed conceptual framework with structural equation modeling. Furthermore, we conducted a relative effect analysis to determine the relative significance of the various dimensions of perceived control on perceived power. The results indicate that involvement with the service is an antecedent to perceived control. Distinct pathways to a sense of power were also delineated. The initial pathway, which leads to perceived personal power, originates from perceived decisional control and cognitive control. The subsequent pathway, which results in perceived social power, is derived from perceived behavioral control and cognitive control. In terms of the implications, perceived personal power leads to positive emotional outcomes, whereas perceived social power enhances relational commitment.","author":[{"dropping-particle":"","family":"Akhavannasab","given":"Sanam","non-dropping-particle":"","parse-names":false,"suffix":""},{"dropping-particle":"","family":"Roschk","given":"Holger","non-dropping-particle":"","parse-names":false,"suffix":""}],"container-title":"Journal of Retailing and Consumer Services","id":"ITEM-1","issued":{"date-parts":[["2026","6","1"]]},"page":"104811","publisher":"Pergamon","title":"Exploring the process of consumer empowerment: The role of perceived control in consumer power","type":"article-journal","volume":"92"},"uris":["http://www.mendeley.com/documents/?uuid=c4e38231-0e5e-37e5-95a7-74ce6f189df9"]}],"mendeley":{"formattedCitation":"(Akhavannasab &amp; Roschk, 2026)","plainTextFormattedCitation":"(Akhavannasab &amp; Roschk, 2026)","previouslyFormattedCitation":"(Akhavannasab &amp; Roschk, 2026)"},"properties":{"noteIndex":0},"schema":"https://github.com/citation-style-language/schema/raw/master/csl-citation.json"}</w:instrText>
      </w:r>
      <w:r>
        <w:rPr>
          <w:rFonts w:ascii="Times New Roman" w:hAnsi="Times New Roman" w:cs="Times New Roman"/>
          <w:sz w:val="24"/>
          <w:szCs w:val="24"/>
        </w:rPr>
        <w:fldChar w:fldCharType="separate"/>
      </w:r>
      <w:r w:rsidRPr="0068455E">
        <w:rPr>
          <w:rFonts w:ascii="Times New Roman" w:hAnsi="Times New Roman" w:cs="Times New Roman"/>
          <w:noProof/>
          <w:sz w:val="24"/>
          <w:szCs w:val="24"/>
        </w:rPr>
        <w:t>(Akhavannasab &amp; Roschk, 2026)</w:t>
      </w:r>
      <w:r>
        <w:rPr>
          <w:rFonts w:ascii="Times New Roman" w:hAnsi="Times New Roman" w:cs="Times New Roman"/>
          <w:sz w:val="24"/>
          <w:szCs w:val="24"/>
        </w:rPr>
        <w:fldChar w:fldCharType="end"/>
      </w:r>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control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{"citationItems":[{"id":"ITEM-1","itemData":{"DOI":"10.1177/1090198110372880;WEBSITE:WEBSITE:SAGE;WGROUP:STRING:PUBLICATION","ISSN":"10901981","PMID":"21460177","abstract":"Empowerment theory provides both a value orientation for community-based research and practice, and a conceptual framework for understanding and evaluating interventions. One critical question in empowerment theory involves whether a reciprocal (bidirectional) relationship exists between community participation (CP) and psychological empowerment (PE). This study applied structural equation modeling (SEM) with two waves of survey data from a cross-lagged panel design to test reciprocal and unidirectional causal relations between latent variables representing CP and PE. Participants (n = 474) were randomly selected neighborhood residents and organizational members from the United States. Four models were tested using SEM: (a) a baseline model with autoregressive paths, (b) a model with autoregressive effects and CP predicting future PE, (c) a model with autoregressive effects and PE predicting future CP, and (d) a fully cross-lagged model. Results indicated that CP influenced future PE; however, reciprocal causality was not found to occur between the variables. Implications of the study for empowerment theory and community-based practice are described, and directions for future research discussed. © 2011 by SOPHE.","author":[{"dropping-particle":"","family":"Christens","given":"Brian D.","non-dropping-particle":"","parse-names":false,"suffix":""},{"dropping-particle":"","family":"Peterson","given":"N. Andrew","non-dropping-particle":"","parse-names":false,"suffix":""},{"dropping-particle":"","family":"Speer","given":"Paul W.","non-dropping-particle":"","parse-names":false,"suffix":""}],"container-title":"Health Education and Behavior","id":"ITEM-1","issue":"4","issued":{"date-parts":[["2011","8"]]},"page":"339-347","publisher":"SAGE PublicationsSage CA: Los Angeles, CA","title":"Community participation and psychological empowerment: Testing reciprocal causality using a cross-lagged panel design and latent constructs","type":"article-journal","volume":"38"},"uris":["http://www.mendeley.com/documents/?uuid=448c1870-4049-3940-8c52-5f52026eabe4"]},{"id":"ITEM-2","itemData":{"DOI":"10.1177/0022243719866408;ISSUE:ISSUE:DOI","ISSN":"15477193","abstract":"Research on customer participation (CP) has focused on its benefits for customers. However, recent research suggests that CP is beneficial to both customers and firms. The literature is also sparse on the economic (e.g., profitability) and customer (e.g., customer retention) impact of CP. This research introduces the concept of customer empowerment and develops and tests a model of customer empowerment as a parallel mediator, along with customer satisfaction, to explain the linkage between CP and bank branch performance. Furthermore, the authors draw on a broader set of moderators beyond customer characteristics to examine when CP affects empowerment and satisfaction. Using triadic matched data from a multiwave design and a three-level model in which customers are nested within employees, who are, in turn, nested within bank branches, the authors show that customer empowerment and satisfaction fully mediate the effect of CP on branch performance. The findings also show that CP results in greater customer empowerment and satisfaction when there is fit between participation and the context in which it is used. The authors discuss implications for advancing CP research and suggest actionable steps for reaping the economic and customer benefits of CP.","author":[{"dropping-particle":"","family":"Auh","given":"Seigyoung","non-dropping-particle":"","parse-names":false,"suffix":""},{"dropping-particle":"","family":"Menguc","given":"Bulent","non-dropping-particle":"","parse-names":false,"suffix":""},{"dropping-particle":"","family":"Katsikeas","given":"Constantine S.","non-dropping-particle":"","parse-names":false,"suffix":""},{"dropping-particle":"","family":"Jung","given":"Yeon Sung","non-dropping-particle":"","parse-names":false,"suffix":""}],"container-title":"Journal of Marketing Research","id":"ITEM-2","issue":"6","issued":{"date-parts":[["2019","12","1"]]},"page":"1012-1033","publisher":"SAGE Publications Ltd","title":"When Does Customer Participation Matter? An Empirical Investigation of the Role of Customer Empowerment in the Customer Participation–Performance Link","type":"article-journal","volume":"56"},"uris":["http://www.mendeley.com/documents/?uuid=e4da1289-0348-3b0e-8a73-13bbe770b40a"]}],"mendeley":{"formattedCitation":"(Auh et al., 2019; Christens et al., 2011)","plainTextFormattedCitation":"(Auh et al., 2019; Christens et al., 2011)","previouslyFormattedCitation":"(Auh et al., 2019; Christens et al., 2011)"},"properties":{"noteIndex":0},"schema":"https://github.com/citation-style-language/schema/raw/master/csl-citation.json"}</w:instrText>
      </w:r>
      <w:r>
        <w:rPr>
          <w:rFonts w:ascii="Times New Roman" w:hAnsi="Times New Roman" w:cs="Times New Roman"/>
          <w:sz w:val="24"/>
          <w:szCs w:val="24"/>
        </w:rPr>
        <w:fldChar w:fldCharType="separate"/>
      </w:r>
      <w:r w:rsidRPr="00620A38">
        <w:rPr>
          <w:rFonts w:ascii="Times New Roman" w:hAnsi="Times New Roman" w:cs="Times New Roman"/>
          <w:noProof/>
          <w:sz w:val="24"/>
          <w:szCs w:val="24"/>
        </w:rPr>
        <w:t>(Auh et al., 2019; Christens et al., 2011)</w:t>
      </w:r>
      <w:r>
        <w:rPr>
          <w:rFonts w:ascii="Times New Roman" w:hAnsi="Times New Roman" w:cs="Times New Roman"/>
          <w:sz w:val="24"/>
          <w:szCs w:val="24"/>
        </w:rPr>
        <w:fldChar w:fldCharType="end"/>
      </w:r>
    </w:p>
    <w:p w14:paraId="2B05DE9A" w14:textId="2E385230" w:rsidR="00301B18" w:rsidRDefault="00301B18" w:rsidP="00301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Pengaruh</w:t>
      </w:r>
      <w:proofErr w:type="spellEnd"/>
      <w:r>
        <w:rPr>
          <w:rFonts w:ascii="Times New Roman" w:hAnsi="Times New Roman" w:cs="Times New Roman"/>
          <w:b/>
          <w:bCs/>
          <w:sz w:val="24"/>
          <w:szCs w:val="24"/>
        </w:rPr>
        <w:t xml:space="preserve"> Citra Merek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Keputusan </w:t>
      </w:r>
      <w:proofErr w:type="spellStart"/>
      <w:r>
        <w:rPr>
          <w:rFonts w:ascii="Times New Roman" w:hAnsi="Times New Roman" w:cs="Times New Roman"/>
          <w:b/>
          <w:bCs/>
          <w:sz w:val="24"/>
          <w:szCs w:val="24"/>
        </w:rPr>
        <w:t>Pembelian</w:t>
      </w:r>
      <w:proofErr w:type="spellEnd"/>
      <w:r>
        <w:rPr>
          <w:rFonts w:ascii="Times New Roman" w:hAnsi="Times New Roman" w:cs="Times New Roman"/>
          <w:b/>
          <w:bCs/>
          <w:sz w:val="24"/>
          <w:szCs w:val="24"/>
        </w:rPr>
        <w:t xml:space="preserve"> Kopi </w:t>
      </w:r>
      <w:proofErr w:type="spellStart"/>
      <w:r>
        <w:rPr>
          <w:rFonts w:ascii="Times New Roman" w:hAnsi="Times New Roman" w:cs="Times New Roman"/>
          <w:b/>
          <w:bCs/>
          <w:sz w:val="24"/>
          <w:szCs w:val="24"/>
        </w:rPr>
        <w:t>Keliling</w:t>
      </w:r>
      <w:proofErr w:type="spellEnd"/>
      <w:r>
        <w:rPr>
          <w:rFonts w:ascii="Times New Roman" w:hAnsi="Times New Roman" w:cs="Times New Roman"/>
          <w:b/>
          <w:bCs/>
          <w:sz w:val="24"/>
          <w:szCs w:val="24"/>
        </w:rPr>
        <w:t xml:space="preserve"> </w:t>
      </w:r>
    </w:p>
    <w:p w14:paraId="4B98189F" w14:textId="344179B1" w:rsidR="00301B18" w:rsidRDefault="003F4559" w:rsidP="00301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sidR="00301B18">
        <w:rPr>
          <w:rFonts w:ascii="Times New Roman" w:hAnsi="Times New Roman" w:cs="Times New Roman"/>
          <w:sz w:val="24"/>
          <w:szCs w:val="24"/>
        </w:rPr>
        <w:t>Berdasarkan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hasil</w:t>
      </w:r>
      <w:proofErr w:type="spellEnd"/>
      <w:r w:rsidR="00301B18">
        <w:rPr>
          <w:rFonts w:ascii="Times New Roman" w:hAnsi="Times New Roman" w:cs="Times New Roman"/>
          <w:sz w:val="24"/>
          <w:szCs w:val="24"/>
        </w:rPr>
        <w:t xml:space="preserve"> uji </w:t>
      </w:r>
      <w:proofErr w:type="spellStart"/>
      <w:r w:rsidR="00301B18">
        <w:rPr>
          <w:rFonts w:ascii="Times New Roman" w:hAnsi="Times New Roman" w:cs="Times New Roman"/>
          <w:sz w:val="24"/>
          <w:szCs w:val="24"/>
        </w:rPr>
        <w:t>dalam</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penelitian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ini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ditemukan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bahwa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citra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memiliki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pengaruh</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signifikan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terhadap</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keputusan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pembelian</w:t>
      </w:r>
      <w:proofErr w:type="spellEnd"/>
      <w:r w:rsidR="00301B18">
        <w:rPr>
          <w:rFonts w:ascii="Times New Roman" w:hAnsi="Times New Roman" w:cs="Times New Roman"/>
          <w:sz w:val="24"/>
          <w:szCs w:val="24"/>
        </w:rPr>
        <w:t xml:space="preserve">. Hasil </w:t>
      </w:r>
      <w:proofErr w:type="spellStart"/>
      <w:r w:rsidR="00301B18">
        <w:rPr>
          <w:rFonts w:ascii="Times New Roman" w:hAnsi="Times New Roman" w:cs="Times New Roman"/>
          <w:sz w:val="24"/>
          <w:szCs w:val="24"/>
        </w:rPr>
        <w:t>penelitian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ini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memeberikan</w:t>
      </w:r>
      <w:proofErr w:type="spellEnd"/>
      <w:r w:rsidR="00301B18">
        <w:rPr>
          <w:rFonts w:ascii="Times New Roman" w:hAnsi="Times New Roman" w:cs="Times New Roman"/>
          <w:sz w:val="24"/>
          <w:szCs w:val="24"/>
        </w:rPr>
        <w:t xml:space="preserve"> Gambaran </w:t>
      </w:r>
      <w:proofErr w:type="spellStart"/>
      <w:r w:rsidR="00301B18">
        <w:rPr>
          <w:rFonts w:ascii="Times New Roman" w:hAnsi="Times New Roman" w:cs="Times New Roman"/>
          <w:sz w:val="24"/>
          <w:szCs w:val="24"/>
        </w:rPr>
        <w:t>bahwa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citra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diabngun</w:t>
      </w:r>
      <w:proofErr w:type="spellEnd"/>
      <w:r w:rsidR="00301B18">
        <w:rPr>
          <w:rFonts w:ascii="Times New Roman" w:hAnsi="Times New Roman" w:cs="Times New Roman"/>
          <w:sz w:val="24"/>
          <w:szCs w:val="24"/>
        </w:rPr>
        <w:t xml:space="preserve"> oleh </w:t>
      </w:r>
      <w:proofErr w:type="spellStart"/>
      <w:r w:rsidR="00301B18">
        <w:rPr>
          <w:rFonts w:ascii="Times New Roman" w:hAnsi="Times New Roman" w:cs="Times New Roman"/>
          <w:sz w:val="24"/>
          <w:szCs w:val="24"/>
        </w:rPr>
        <w:t>suatu</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produk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atau</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perusahaan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dapat</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mempengaruhi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perilaku</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konsumen</w:t>
      </w:r>
      <w:proofErr w:type="spellEnd"/>
      <w:r w:rsidR="00301B18">
        <w:rPr>
          <w:rFonts w:ascii="Times New Roman" w:hAnsi="Times New Roman" w:cs="Times New Roman"/>
          <w:sz w:val="24"/>
          <w:szCs w:val="24"/>
        </w:rPr>
        <w:t xml:space="preserve">. Hasil </w:t>
      </w:r>
      <w:proofErr w:type="spellStart"/>
      <w:r w:rsidR="00301B18">
        <w:rPr>
          <w:rFonts w:ascii="Times New Roman" w:hAnsi="Times New Roman" w:cs="Times New Roman"/>
          <w:sz w:val="24"/>
          <w:szCs w:val="24"/>
        </w:rPr>
        <w:t>ini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sejalan</w:t>
      </w:r>
      <w:proofErr w:type="spellEnd"/>
      <w:r w:rsidR="00301B18">
        <w:rPr>
          <w:rFonts w:ascii="Times New Roman" w:hAnsi="Times New Roman" w:cs="Times New Roman"/>
          <w:sz w:val="24"/>
          <w:szCs w:val="24"/>
        </w:rPr>
        <w:t xml:space="preserve"> denga </w:t>
      </w:r>
      <w:proofErr w:type="spellStart"/>
      <w:r w:rsidR="00301B18">
        <w:rPr>
          <w:rFonts w:ascii="Times New Roman" w:hAnsi="Times New Roman" w:cs="Times New Roman"/>
          <w:sz w:val="24"/>
          <w:szCs w:val="24"/>
        </w:rPr>
        <w:t>apa</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dikatakan</w:t>
      </w:r>
      <w:proofErr w:type="spellEnd"/>
      <w:r w:rsidR="00301B18">
        <w:rPr>
          <w:rFonts w:ascii="Times New Roman" w:hAnsi="Times New Roman" w:cs="Times New Roman"/>
          <w:sz w:val="24"/>
          <w:szCs w:val="24"/>
        </w:rPr>
        <w:t xml:space="preserve"> </w:t>
      </w:r>
      <w:r w:rsidR="00301B18">
        <w:rPr>
          <w:rFonts w:ascii="Times New Roman" w:hAnsi="Times New Roman" w:cs="Times New Roman"/>
          <w:sz w:val="24"/>
          <w:szCs w:val="24"/>
        </w:rPr>
        <w:fldChar w:fldCharType="begin" w:fldLock="1"/>
      </w:r>
      <w:r w:rsidR="00301B18">
        <w:rPr>
          <w:rFonts w:ascii="Times New Roman" w:hAnsi="Times New Roman" w:cs="Times New Roman"/>
          <w:sz w:val="24"/>
          <w:szCs w:val="24"/>
        </w:rPr>
        <w:instrText>ADDIN CSL_CITATION {"citationItems":[{"id":"ITEM-1","itemData":{"DOI":"10.1007/s11002-025-09801-6","ISSN":"1573059X","abstract":"Marketers often use endorsers to transfer desirable attributes from the endorser to the brand (e.g., showing a brand with an athlete to convey an “athletic” image). The present research tests whether such attribute transfer extends to characteristics conveyed by the endorser's facial appearance. In three preregistered experiments, altering an endorser’s facial appearance to appear high in communion or agency shaped perceptions of the endorsed brand’s warmth or competence. Consistent with contemporary theories on attribute conditioning, these effects occurred only when participants remembered the brand-endorser pairing. Furthermore, endorsers’ facial features also influenced product choices, such that brands paired with high-communion (or high-agency) endorsers were preferred for products associated with high warmth (or competence). Overall, the present findings show that subtle variations in an endorser’s face influence the endorsed brand’s image. © The Author(s) 2025.","author":[{"dropping-particle":"","family":"Ingendahl","given":"Moritz","non-dropping-particle":"","parse-names":false,"suffix":""}],"container-title":"Marketing Letters","id":"ITEM-1","issue":"1","issued":{"date-parts":[["2026","12","1"]]},"publisher":"Springer","title":"How endorsers’ faces shape perceptions of brand warmth and competence","type":"article-journal","volume":"37"},"uris":["http://www.mendeley.com/documents/?uuid=6890ca7e-00c6-3d89-aaa9-53a72ea40be2"]}],"mendeley":{"formattedCitation":"(Ingendahl, 2026)","manualFormatting":"Ingendahl (2026)","plainTextFormattedCitation":"(Ingendahl, 2026)","previouslyFormattedCitation":"(Ingendahl, 2026)"},"properties":{"noteIndex":0},"schema":"https://github.com/citation-style-language/schema/raw/master/csl-citation.json"}</w:instrText>
      </w:r>
      <w:r w:rsidR="00301B18">
        <w:rPr>
          <w:rFonts w:ascii="Times New Roman" w:hAnsi="Times New Roman" w:cs="Times New Roman"/>
          <w:sz w:val="24"/>
          <w:szCs w:val="24"/>
        </w:rPr>
        <w:fldChar w:fldCharType="separate"/>
      </w:r>
      <w:r w:rsidR="00301B18" w:rsidRPr="00E84C86">
        <w:rPr>
          <w:rFonts w:ascii="Times New Roman" w:hAnsi="Times New Roman" w:cs="Times New Roman"/>
          <w:noProof/>
          <w:sz w:val="24"/>
          <w:szCs w:val="24"/>
        </w:rPr>
        <w:t>Ingendahl</w:t>
      </w:r>
      <w:r w:rsidR="00301B18">
        <w:rPr>
          <w:rFonts w:ascii="Times New Roman" w:hAnsi="Times New Roman" w:cs="Times New Roman"/>
          <w:noProof/>
          <w:sz w:val="24"/>
          <w:szCs w:val="24"/>
        </w:rPr>
        <w:t xml:space="preserve"> (</w:t>
      </w:r>
      <w:r w:rsidR="00301B18" w:rsidRPr="00E84C86">
        <w:rPr>
          <w:rFonts w:ascii="Times New Roman" w:hAnsi="Times New Roman" w:cs="Times New Roman"/>
          <w:noProof/>
          <w:sz w:val="24"/>
          <w:szCs w:val="24"/>
        </w:rPr>
        <w:t>2026)</w:t>
      </w:r>
      <w:r w:rsidR="00301B18">
        <w:rPr>
          <w:rFonts w:ascii="Times New Roman" w:hAnsi="Times New Roman" w:cs="Times New Roman"/>
          <w:sz w:val="24"/>
          <w:szCs w:val="24"/>
        </w:rPr>
        <w:fldChar w:fldCharType="end"/>
      </w:r>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menjelaskan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bahwa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suatu</w:t>
      </w:r>
      <w:proofErr w:type="spellEnd"/>
      <w:r w:rsidR="00301B18">
        <w:rPr>
          <w:rFonts w:ascii="Times New Roman" w:hAnsi="Times New Roman" w:cs="Times New Roman"/>
          <w:sz w:val="24"/>
          <w:szCs w:val="24"/>
        </w:rPr>
        <w:t xml:space="preserve"> </w:t>
      </w:r>
      <w:r w:rsidR="00301B18">
        <w:rPr>
          <w:rFonts w:ascii="Times New Roman" w:hAnsi="Times New Roman" w:cs="Times New Roman"/>
          <w:i/>
          <w:iCs/>
          <w:sz w:val="24"/>
          <w:szCs w:val="24"/>
        </w:rPr>
        <w:t xml:space="preserve">brand </w:t>
      </w:r>
      <w:r w:rsidR="00301B18">
        <w:rPr>
          <w:rFonts w:ascii="Times New Roman" w:hAnsi="Times New Roman" w:cs="Times New Roman"/>
          <w:sz w:val="24"/>
          <w:szCs w:val="24"/>
        </w:rPr>
        <w:t xml:space="preserve">yang </w:t>
      </w:r>
      <w:proofErr w:type="spellStart"/>
      <w:r w:rsidR="00301B18">
        <w:rPr>
          <w:rFonts w:ascii="Times New Roman" w:hAnsi="Times New Roman" w:cs="Times New Roman"/>
          <w:sz w:val="24"/>
          <w:szCs w:val="24"/>
        </w:rPr>
        <w:t>diselaraskan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dengan</w:t>
      </w:r>
      <w:proofErr w:type="spellEnd"/>
      <w:r w:rsidR="00301B18">
        <w:rPr>
          <w:rFonts w:ascii="Times New Roman" w:hAnsi="Times New Roman" w:cs="Times New Roman"/>
          <w:sz w:val="24"/>
          <w:szCs w:val="24"/>
        </w:rPr>
        <w:t xml:space="preserve"> endorser yang </w:t>
      </w:r>
      <w:proofErr w:type="spellStart"/>
      <w:r w:rsidR="00301B18">
        <w:rPr>
          <w:rFonts w:ascii="Times New Roman" w:hAnsi="Times New Roman" w:cs="Times New Roman"/>
          <w:sz w:val="24"/>
          <w:szCs w:val="24"/>
        </w:rPr>
        <w:t>memiliki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tingkat</w:t>
      </w:r>
      <w:proofErr w:type="spellEnd"/>
      <w:r w:rsidR="00301B18">
        <w:rPr>
          <w:rFonts w:ascii="Times New Roman" w:hAnsi="Times New Roman" w:cs="Times New Roman"/>
          <w:sz w:val="24"/>
          <w:szCs w:val="24"/>
        </w:rPr>
        <w:t xml:space="preserve"> </w:t>
      </w:r>
      <w:r w:rsidR="00301B18">
        <w:rPr>
          <w:rFonts w:ascii="Times New Roman" w:hAnsi="Times New Roman" w:cs="Times New Roman"/>
          <w:i/>
          <w:iCs/>
          <w:sz w:val="24"/>
          <w:szCs w:val="24"/>
        </w:rPr>
        <w:t xml:space="preserve">communion </w:t>
      </w:r>
      <w:proofErr w:type="spellStart"/>
      <w:r w:rsidR="00301B18">
        <w:rPr>
          <w:rFonts w:ascii="Times New Roman" w:hAnsi="Times New Roman" w:cs="Times New Roman"/>
          <w:sz w:val="24"/>
          <w:szCs w:val="24"/>
        </w:rPr>
        <w:t>tinggi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cenderung</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lebih</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disukai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Dalam</w:t>
      </w:r>
      <w:proofErr w:type="spellEnd"/>
      <w:r w:rsidR="00301B18">
        <w:rPr>
          <w:rFonts w:ascii="Times New Roman" w:hAnsi="Times New Roman" w:cs="Times New Roman"/>
          <w:sz w:val="24"/>
          <w:szCs w:val="24"/>
        </w:rPr>
        <w:t xml:space="preserve"> dunia </w:t>
      </w:r>
      <w:proofErr w:type="spellStart"/>
      <w:r w:rsidR="00301B18">
        <w:rPr>
          <w:rFonts w:ascii="Times New Roman" w:hAnsi="Times New Roman" w:cs="Times New Roman"/>
          <w:sz w:val="24"/>
          <w:szCs w:val="24"/>
        </w:rPr>
        <w:t>manajemen</w:t>
      </w:r>
      <w:proofErr w:type="spellEnd"/>
      <w:r w:rsidR="00301B18">
        <w:rPr>
          <w:rFonts w:ascii="Times New Roman" w:hAnsi="Times New Roman" w:cs="Times New Roman"/>
          <w:sz w:val="24"/>
          <w:szCs w:val="24"/>
        </w:rPr>
        <w:t xml:space="preserve"> dan </w:t>
      </w:r>
      <w:proofErr w:type="spellStart"/>
      <w:r w:rsidR="00301B18">
        <w:rPr>
          <w:rFonts w:ascii="Times New Roman" w:hAnsi="Times New Roman" w:cs="Times New Roman"/>
          <w:sz w:val="24"/>
          <w:szCs w:val="24"/>
        </w:rPr>
        <w:t>bisnis</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peningkatan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ekuitas</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menjadi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sebuah</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bagian</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krusial</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Ekuitas</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yang</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mencakup</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dimensi-dimensi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seperti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kesadaran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citra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persepsi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kualitas</w:t>
      </w:r>
      <w:proofErr w:type="spellEnd"/>
      <w:r w:rsidR="00301B18">
        <w:rPr>
          <w:rFonts w:ascii="Times New Roman" w:hAnsi="Times New Roman" w:cs="Times New Roman"/>
          <w:sz w:val="24"/>
          <w:szCs w:val="24"/>
        </w:rPr>
        <w:t xml:space="preserve">, dan </w:t>
      </w:r>
      <w:proofErr w:type="spellStart"/>
      <w:r w:rsidR="00301B18">
        <w:rPr>
          <w:rFonts w:ascii="Times New Roman" w:hAnsi="Times New Roman" w:cs="Times New Roman"/>
          <w:sz w:val="24"/>
          <w:szCs w:val="24"/>
        </w:rPr>
        <w:t>loyalitas</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berperan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penting</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dalam</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memperkuat</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pangsa</w:t>
      </w:r>
      <w:proofErr w:type="spellEnd"/>
      <w:r w:rsidR="00301B18">
        <w:rPr>
          <w:rFonts w:ascii="Times New Roman" w:hAnsi="Times New Roman" w:cs="Times New Roman"/>
          <w:sz w:val="24"/>
          <w:szCs w:val="24"/>
        </w:rPr>
        <w:t xml:space="preserve"> pasar, </w:t>
      </w:r>
      <w:proofErr w:type="spellStart"/>
      <w:r w:rsidR="00301B18">
        <w:rPr>
          <w:rFonts w:ascii="Times New Roman" w:hAnsi="Times New Roman" w:cs="Times New Roman"/>
          <w:sz w:val="24"/>
          <w:szCs w:val="24"/>
        </w:rPr>
        <w:t>keunggulan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kompetitif</w:t>
      </w:r>
      <w:proofErr w:type="spellEnd"/>
      <w:r w:rsidR="00301B18">
        <w:rPr>
          <w:rFonts w:ascii="Times New Roman" w:hAnsi="Times New Roman" w:cs="Times New Roman"/>
          <w:sz w:val="24"/>
          <w:szCs w:val="24"/>
        </w:rPr>
        <w:t xml:space="preserve">, dan </w:t>
      </w:r>
      <w:proofErr w:type="spellStart"/>
      <w:r w:rsidR="00301B18">
        <w:rPr>
          <w:rFonts w:ascii="Times New Roman" w:hAnsi="Times New Roman" w:cs="Times New Roman"/>
          <w:sz w:val="24"/>
          <w:szCs w:val="24"/>
        </w:rPr>
        <w:t>nilai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produk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tersebut</w:t>
      </w:r>
      <w:proofErr w:type="spellEnd"/>
      <w:r w:rsidR="00301B18">
        <w:rPr>
          <w:rFonts w:ascii="Times New Roman" w:hAnsi="Times New Roman" w:cs="Times New Roman"/>
          <w:sz w:val="24"/>
          <w:szCs w:val="24"/>
        </w:rPr>
        <w:t xml:space="preserve"> </w:t>
      </w:r>
      <w:r w:rsidR="00301B18">
        <w:rPr>
          <w:rFonts w:ascii="Times New Roman" w:hAnsi="Times New Roman" w:cs="Times New Roman"/>
          <w:sz w:val="24"/>
          <w:szCs w:val="24"/>
        </w:rPr>
        <w:fldChar w:fldCharType="begin" w:fldLock="1"/>
      </w:r>
      <w:r w:rsidR="00301B18">
        <w:rPr>
          <w:rFonts w:ascii="Times New Roman" w:hAnsi="Times New Roman" w:cs="Times New Roman"/>
          <w:sz w:val="24"/>
          <w:szCs w:val="24"/>
        </w:rPr>
        <w:instrText>ADDIN CSL_CITATION {"citationItems":[{"id":"ITEM-1","itemData":{"DOI":"10.53370/001c.92144","ISSN":"3122-3303","abstract":"In the present work, activated carbon was produced from Acacia Tortilis tree bark, utilizing phosphoric acid chemical activation, and microwave irradiation (AC-MWI). Activated carbon was also produce by conventional phosphoric acid chemical activation and low temperature carbonization (AC-CA). Characterization of produced activated carbons performed by proximate analysis adopting ASTM standard procedures. BET-specific surface area, total ash content, bulk density, moisture content, pH, pore volume and iodine number were determined. Comparison of characteristics for both carbon, with the characteristics of AC available in the literature and commercially available in the market was performed. Comparison showed that activated carbon produced from Acacia Tortilis tree bark is well comparable with the reported characteristics of AC in literature and commercially available in market. It was found that AC-MWI has higher BET-specific surface area than AC-CA (836 m2/g and 687 m2/g respectively). Results depict that there is an increase of 22.3% in microspores component and 21.7% BET- specific surface area obtained in AC-MWI as compared to AC-CA. Similarly, the corresponding pore volume obtained (4.97 cm3/g and 4.07 cm3/g respectively) demonstrating better values as compared to the commercial ACs (&lt;1 cm3/g). Additionally, it was found that AC can be produced by microwave irradiation in about 48.5% less time when compared to conventional low temperature heating. The adsorption study of produced ACs was performed using methylene blue as a contaminant. Study showed that MB removal rate initially increased with increase in contact time, which decreased with time until steady state was reached. Adsorption data of MB was fitted to Freundlich, Langmuir and Temkin adsorption isotherm models. All models show reasonable correlation, however, Freundlich isotherm is best to describe the MB adsorption on AC-MWI based on correlation coefficient R2 value (0.9985). The results revealed the feasibility of microwave heating for preparation of high surface area activated carbons from Acacia Tortilis tree bark.","author":[{"dropping-particle":"","family":"Saleem","given":"Muhammad","non-dropping-particle":"","parse-names":false,"suffix":""},{"dropping-particle":"","family":"Saleem","given":"Muhammad","non-dropping-particle":"","parse-names":false,"suffix":""}],"container-title":"Yanbu Journal of Engineering and Science","id":"ITEM-1","issue":"2","issued":{"date-parts":[["2025","3","2"]]},"page":"44-51","publisher":"Yanbu Industrial College","title":"Production and evaluation of activated carbon from Saudi Arabian Acacia Tortilis tree bark by microwave and low temperature activation process","type":"article-journal","volume":"20"},"uris":["http://www.mendeley.com/documents/?uuid=2776ebe7-bdbe-3fbe-ade6-5d53737bbb4d"]}],"mendeley":{"formattedCitation":"(Saleem &amp; Saleem, 2025)","manualFormatting":"(Saleem, 2025)","plainTextFormattedCitation":"(Saleem &amp; Saleem, 2025)","previouslyFormattedCitation":"(Saleem &amp; Saleem, 2025)"},"properties":{"noteIndex":0},"schema":"https://github.com/citation-style-language/schema/raw/master/csl-citation.json"}</w:instrText>
      </w:r>
      <w:r w:rsidR="00301B18">
        <w:rPr>
          <w:rFonts w:ascii="Times New Roman" w:hAnsi="Times New Roman" w:cs="Times New Roman"/>
          <w:sz w:val="24"/>
          <w:szCs w:val="24"/>
        </w:rPr>
        <w:fldChar w:fldCharType="separate"/>
      </w:r>
      <w:r w:rsidR="00301B18" w:rsidRPr="00930C00">
        <w:rPr>
          <w:rFonts w:ascii="Times New Roman" w:hAnsi="Times New Roman" w:cs="Times New Roman"/>
          <w:noProof/>
          <w:sz w:val="24"/>
          <w:szCs w:val="24"/>
        </w:rPr>
        <w:t>(Saleem, 2025)</w:t>
      </w:r>
      <w:r w:rsidR="00301B18">
        <w:rPr>
          <w:rFonts w:ascii="Times New Roman" w:hAnsi="Times New Roman" w:cs="Times New Roman"/>
          <w:sz w:val="24"/>
          <w:szCs w:val="24"/>
        </w:rPr>
        <w:fldChar w:fldCharType="end"/>
      </w:r>
      <w:r w:rsidR="00301B18">
        <w:rPr>
          <w:rFonts w:ascii="Times New Roman" w:hAnsi="Times New Roman" w:cs="Times New Roman"/>
          <w:sz w:val="24"/>
          <w:szCs w:val="24"/>
        </w:rPr>
        <w:t>.</w:t>
      </w:r>
    </w:p>
    <w:p w14:paraId="24F56321" w14:textId="3E337DD3" w:rsidR="00301B18" w:rsidRDefault="003F4559" w:rsidP="003F4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sidR="00301B18">
        <w:rPr>
          <w:rFonts w:ascii="Times New Roman" w:hAnsi="Times New Roman" w:cs="Times New Roman"/>
          <w:sz w:val="24"/>
          <w:szCs w:val="24"/>
        </w:rPr>
        <w:t>Berbagai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penelitian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secara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konsisten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menunjukkan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bahwa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kesadaran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cita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dan </w:t>
      </w:r>
      <w:proofErr w:type="spellStart"/>
      <w:r w:rsidR="00301B18">
        <w:rPr>
          <w:rFonts w:ascii="Times New Roman" w:hAnsi="Times New Roman" w:cs="Times New Roman"/>
          <w:sz w:val="24"/>
          <w:szCs w:val="24"/>
        </w:rPr>
        <w:t>kepercayaaan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terhadap</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berdampak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positif</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terhadap</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kesediaan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membayar</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dengan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cara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meningkatkan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kredibilitas</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mengurangi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persepsi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risiko</w:t>
      </w:r>
      <w:proofErr w:type="spellEnd"/>
      <w:r w:rsidR="00301B18">
        <w:rPr>
          <w:rFonts w:ascii="Times New Roman" w:hAnsi="Times New Roman" w:cs="Times New Roman"/>
          <w:sz w:val="24"/>
          <w:szCs w:val="24"/>
        </w:rPr>
        <w:t xml:space="preserve">, dan </w:t>
      </w:r>
      <w:proofErr w:type="spellStart"/>
      <w:r w:rsidR="00301B18">
        <w:rPr>
          <w:rFonts w:ascii="Times New Roman" w:hAnsi="Times New Roman" w:cs="Times New Roman"/>
          <w:sz w:val="24"/>
          <w:szCs w:val="24"/>
        </w:rPr>
        <w:t>menumbuhkan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keterikatan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emosional</w:t>
      </w:r>
      <w:proofErr w:type="spellEnd"/>
      <w:r w:rsidR="00301B18">
        <w:rPr>
          <w:rFonts w:ascii="Times New Roman" w:hAnsi="Times New Roman" w:cs="Times New Roman"/>
          <w:sz w:val="24"/>
          <w:szCs w:val="24"/>
        </w:rPr>
        <w:t xml:space="preserve"> </w:t>
      </w:r>
      <w:r w:rsidR="00301B18">
        <w:rPr>
          <w:rFonts w:ascii="Times New Roman" w:hAnsi="Times New Roman" w:cs="Times New Roman"/>
          <w:sz w:val="24"/>
          <w:szCs w:val="24"/>
        </w:rPr>
        <w:fldChar w:fldCharType="begin" w:fldLock="1"/>
      </w:r>
      <w:r w:rsidR="00301B18">
        <w:rPr>
          <w:rFonts w:ascii="Times New Roman" w:hAnsi="Times New Roman" w:cs="Times New Roman"/>
          <w:sz w:val="24"/>
          <w:szCs w:val="24"/>
        </w:rPr>
        <w:instrText>ADDIN CSL_CITATION {"citationItems":[{"id":"ITEM-1","itemData":{"DOI":"10.1080/08911762.2023.2207072","ISSN":"0891-1762","author":[{"dropping-particle":"","family":"Koay","given":"Kian Yeik","non-dropping-particle":"","parse-names":false,"suffix":""},{"dropping-particle":"","family":"Cheah","given":"Chee Wei","non-dropping-particle":"","parse-names":false,"suffix":""},{"dropping-particle":"","family":"Goon","given":"Serena Wooi-U","non-dropping-particle":"","parse-names":false,"suffix":""}],"container-title":"Journal of Global Marketing","id":"ITEM-1","issue":"3","issued":{"date-parts":[["2023","5","27"]]},"page":"210-224","title":"How Do Perceived Social Media Marketing Activities Foster Purchase Intentions? A Multiple Sequential Mediation Model","type":"article-journal","volume":"36"},"uris":["http://www.mendeley.com/documents/?uuid=3dd0bad6-77df-48b0-b91a-af8970f47f0b"]},{"id":"ITEM-2","itemData":{"DOI":"10.1080/15228916.2023.2277574","ISSN":"1522-8916","author":[{"dropping-particle":"","family":"Oppong","given":"Peter Kwasi","non-dropping-particle":"","parse-names":false,"suffix":""},{"dropping-particle":"","family":"Oppong Mensah","given":"Nicholas","non-dropping-particle":"","parse-names":false,"suffix":""},{"dropping-particle":"","family":"Berko","given":"Daniel","non-dropping-particle":"","parse-names":false,"suffix":""}],"container-title":"Journal of African Business","id":"ITEM-2","issue":"1","issued":{"date-parts":[["2025","1","2"]]},"page":"47-64","title":"Word-Of-Mouth and Willingness to Pay (WTP) Price Premium: Mediating Role of Herbal Brand Credibility and Brand Trust in Ghana","type":"article-journal","volume":"26"},"uris":["http://www.mendeley.com/documents/?uuid=bd54b37c-1832-4264-b0ad-be9f85103703"]}],"mendeley":{"formattedCitation":"(Koay et al., 2023; Oppong et al., 2025)","plainTextFormattedCitation":"(Koay et al., 2023; Oppong et al., 2025)","previouslyFormattedCitation":"(Koay et al., 2023; Oppong et al., 2025)"},"properties":{"noteIndex":0},"schema":"https://github.com/citation-style-language/schema/raw/master/csl-citation.json"}</w:instrText>
      </w:r>
      <w:r w:rsidR="00301B18">
        <w:rPr>
          <w:rFonts w:ascii="Times New Roman" w:hAnsi="Times New Roman" w:cs="Times New Roman"/>
          <w:sz w:val="24"/>
          <w:szCs w:val="24"/>
        </w:rPr>
        <w:fldChar w:fldCharType="separate"/>
      </w:r>
      <w:r w:rsidR="00301B18" w:rsidRPr="009024B0">
        <w:rPr>
          <w:rFonts w:ascii="Times New Roman" w:hAnsi="Times New Roman" w:cs="Times New Roman"/>
          <w:noProof/>
          <w:sz w:val="24"/>
          <w:szCs w:val="24"/>
        </w:rPr>
        <w:t>(Koay et al., 2023; Oppong et al., 2025)</w:t>
      </w:r>
      <w:r w:rsidR="00301B18">
        <w:rPr>
          <w:rFonts w:ascii="Times New Roman" w:hAnsi="Times New Roman" w:cs="Times New Roman"/>
          <w:sz w:val="24"/>
          <w:szCs w:val="24"/>
        </w:rPr>
        <w:fldChar w:fldCharType="end"/>
      </w:r>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Pemasaran</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dilakukan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dengan</w:t>
      </w:r>
      <w:proofErr w:type="spellEnd"/>
      <w:r w:rsidR="00301B18">
        <w:rPr>
          <w:rFonts w:ascii="Times New Roman" w:hAnsi="Times New Roman" w:cs="Times New Roman"/>
          <w:sz w:val="24"/>
          <w:szCs w:val="24"/>
        </w:rPr>
        <w:t xml:space="preserve"> media </w:t>
      </w:r>
      <w:proofErr w:type="spellStart"/>
      <w:r w:rsidR="00301B18">
        <w:rPr>
          <w:rFonts w:ascii="Times New Roman" w:hAnsi="Times New Roman" w:cs="Times New Roman"/>
          <w:sz w:val="24"/>
          <w:szCs w:val="24"/>
        </w:rPr>
        <w:t>sosial</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telah</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menciptakan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pengalaman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interaktif</w:t>
      </w:r>
      <w:proofErr w:type="spellEnd"/>
      <w:r w:rsidR="00301B18">
        <w:rPr>
          <w:rFonts w:ascii="Times New Roman" w:hAnsi="Times New Roman" w:cs="Times New Roman"/>
          <w:sz w:val="24"/>
          <w:szCs w:val="24"/>
        </w:rPr>
        <w:t xml:space="preserve"> dan </w:t>
      </w:r>
      <w:proofErr w:type="spellStart"/>
      <w:r w:rsidR="00301B18">
        <w:rPr>
          <w:rFonts w:ascii="Times New Roman" w:hAnsi="Times New Roman" w:cs="Times New Roman"/>
          <w:sz w:val="24"/>
          <w:szCs w:val="24"/>
        </w:rPr>
        <w:t>menarik</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meningkatkan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persepsi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keaslian</w:t>
      </w:r>
      <w:proofErr w:type="spellEnd"/>
      <w:r w:rsidR="00301B18">
        <w:rPr>
          <w:rFonts w:ascii="Times New Roman" w:hAnsi="Times New Roman" w:cs="Times New Roman"/>
          <w:sz w:val="24"/>
          <w:szCs w:val="24"/>
        </w:rPr>
        <w:t xml:space="preserve"> dan </w:t>
      </w:r>
      <w:proofErr w:type="spellStart"/>
      <w:r w:rsidR="00301B18">
        <w:rPr>
          <w:rFonts w:ascii="Times New Roman" w:hAnsi="Times New Roman" w:cs="Times New Roman"/>
          <w:sz w:val="24"/>
          <w:szCs w:val="24"/>
        </w:rPr>
        <w:t>kepercayaan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konsumen</w:t>
      </w:r>
      <w:proofErr w:type="spellEnd"/>
      <w:r w:rsidR="00301B18">
        <w:rPr>
          <w:rFonts w:ascii="Times New Roman" w:hAnsi="Times New Roman" w:cs="Times New Roman"/>
          <w:sz w:val="24"/>
          <w:szCs w:val="24"/>
        </w:rPr>
        <w:t xml:space="preserve">, yang pada </w:t>
      </w:r>
      <w:proofErr w:type="spellStart"/>
      <w:r w:rsidR="00301B18">
        <w:rPr>
          <w:rFonts w:ascii="Times New Roman" w:hAnsi="Times New Roman" w:cs="Times New Roman"/>
          <w:sz w:val="24"/>
          <w:szCs w:val="24"/>
        </w:rPr>
        <w:t>akhirnya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mendorong</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konsumen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untuk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bersedia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membayar</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lebih</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untuk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mereka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percayai</w:t>
      </w:r>
      <w:proofErr w:type="spellEnd"/>
      <w:r w:rsidR="00301B18">
        <w:rPr>
          <w:rFonts w:ascii="Times New Roman" w:hAnsi="Times New Roman" w:cs="Times New Roman"/>
          <w:sz w:val="24"/>
          <w:szCs w:val="24"/>
        </w:rPr>
        <w:t xml:space="preserve"> </w:t>
      </w:r>
      <w:r w:rsidR="00301B18">
        <w:rPr>
          <w:rFonts w:ascii="Times New Roman" w:hAnsi="Times New Roman" w:cs="Times New Roman"/>
          <w:sz w:val="24"/>
          <w:szCs w:val="24"/>
        </w:rPr>
        <w:fldChar w:fldCharType="begin" w:fldLock="1"/>
      </w:r>
      <w:r w:rsidR="00301B18">
        <w:rPr>
          <w:rFonts w:ascii="Times New Roman" w:hAnsi="Times New Roman" w:cs="Times New Roman"/>
          <w:sz w:val="24"/>
          <w:szCs w:val="24"/>
        </w:rPr>
        <w:instrText>ADDIN CSL_CITATION {"citationItems":[{"id":"ITEM-1","itemData":{"DOI":"10.1177/22785337211024926","ISSN":"2278-5337","abstract":"The spread of social media has created a new era for companies and brands and forcing them to explore new interactive ways to achieve and engage their consumers. The main purpose of the present study is to investigate the impact of social media marketing and electronic word-of-mouth on consumers' willingness to pay a premium due to the mediating role of brand equity and brand identity. The data were collected through a survey by simple random sampling method. Questionnaires were distributed among people who had experience in buying leather products from social networks. Structural equation modeling technique was applied to test the research hypotheses. The results exposed the process that transforms social media marketing and electronic word-of-mouth to the willingness to pay a premium. Moreover, the findings showed that electronic word-of-mouth can indirectly affect consumer behavioral responses through brand equity and brand identity and also have a direct impact on consumer decisions such as willingness to pay a premium. The study has important implications for both theory and practice. This insight could be utilized by marketers and advertisers in the formulation and implementation of effective and coherent marketing and advertising strategies.","author":[{"dropping-particle":"","family":"Farzin","given":"Milad","non-dropping-particle":"","parse-names":false,"suffix":""},{"dropping-particle":"","family":"Sadeghi","given":"Marzie","non-dropping-particle":"","parse-names":false,"suffix":""},{"dropping-particle":"","family":"Fattahi","given":"Majid","non-dropping-particle":"","parse-names":false,"suffix":""},{"dropping-particle":"","family":"Eghbal","given":"Mohammad Reza","non-dropping-particle":"","parse-names":false,"suffix":""}],"container-title":"Business Perspectives and Research","id":"ITEM-1","issue":"3","issued":{"date-parts":[["2022","9","30"]]},"page":"327-343","title":"Effect of Social Media Marketing and eWOM on Willingness to Pay in the Etailing: Mediating Role of Brand Equity and Brand Identity","type":"article-journal","volume":"10"},"uris":["http://www.mendeley.com/documents/?uuid=47996171-3581-4515-886c-0cc15316e7d8"]}],"mendeley":{"formattedCitation":"(Farzin et al., 2022)","plainTextFormattedCitation":"(Farzin et al., 2022)"},"properties":{"noteIndex":0},"schema":"https://github.com/citation-style-language/schema/raw/master/csl-citation.json"}</w:instrText>
      </w:r>
      <w:r w:rsidR="00301B18">
        <w:rPr>
          <w:rFonts w:ascii="Times New Roman" w:hAnsi="Times New Roman" w:cs="Times New Roman"/>
          <w:sz w:val="24"/>
          <w:szCs w:val="24"/>
        </w:rPr>
        <w:fldChar w:fldCharType="separate"/>
      </w:r>
      <w:r w:rsidR="00301B18" w:rsidRPr="00DC44A5">
        <w:rPr>
          <w:rFonts w:ascii="Times New Roman" w:hAnsi="Times New Roman" w:cs="Times New Roman"/>
          <w:noProof/>
          <w:sz w:val="24"/>
          <w:szCs w:val="24"/>
        </w:rPr>
        <w:t>(Farzin et al., 2022)</w:t>
      </w:r>
      <w:r w:rsidR="00301B18">
        <w:rPr>
          <w:rFonts w:ascii="Times New Roman" w:hAnsi="Times New Roman" w:cs="Times New Roman"/>
          <w:sz w:val="24"/>
          <w:szCs w:val="24"/>
        </w:rPr>
        <w:fldChar w:fldCharType="end"/>
      </w:r>
      <w:r w:rsidR="00301B18">
        <w:rPr>
          <w:rFonts w:ascii="Times New Roman" w:hAnsi="Times New Roman" w:cs="Times New Roman"/>
          <w:sz w:val="24"/>
          <w:szCs w:val="24"/>
        </w:rPr>
        <w:t xml:space="preserve">. Hasil </w:t>
      </w:r>
      <w:proofErr w:type="spellStart"/>
      <w:r w:rsidR="00301B18">
        <w:rPr>
          <w:rFonts w:ascii="Times New Roman" w:hAnsi="Times New Roman" w:cs="Times New Roman"/>
          <w:sz w:val="24"/>
          <w:szCs w:val="24"/>
        </w:rPr>
        <w:t>dari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beberapa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penelitian</w:t>
      </w:r>
      <w:proofErr w:type="spellEnd"/>
      <w:r w:rsidR="00301B18">
        <w:rPr>
          <w:rFonts w:ascii="Times New Roman" w:hAnsi="Times New Roman" w:cs="Times New Roman"/>
          <w:sz w:val="24"/>
          <w:szCs w:val="24"/>
        </w:rPr>
        <w:t xml:space="preserve"> yang </w:t>
      </w:r>
      <w:proofErr w:type="spellStart"/>
      <w:r w:rsidR="00301B18">
        <w:rPr>
          <w:rFonts w:ascii="Times New Roman" w:hAnsi="Times New Roman" w:cs="Times New Roman"/>
          <w:sz w:val="24"/>
          <w:szCs w:val="24"/>
        </w:rPr>
        <w:t>sudah</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dijelaskan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menunjukkan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bahwa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citra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merek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menjadi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sebuah</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faktor</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krusian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bagi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suatu</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produk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karena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hal</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tersebut</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memberikan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dampak</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secara</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langsung</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terhadap</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perilaku</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sampai</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dengan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keputusan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pembelian</w:t>
      </w:r>
      <w:proofErr w:type="spellEnd"/>
      <w:r w:rsidR="00301B18">
        <w:rPr>
          <w:rFonts w:ascii="Times New Roman" w:hAnsi="Times New Roman" w:cs="Times New Roman"/>
          <w:sz w:val="24"/>
          <w:szCs w:val="24"/>
        </w:rPr>
        <w:t xml:space="preserve"> </w:t>
      </w:r>
      <w:proofErr w:type="spellStart"/>
      <w:r w:rsidR="00301B18">
        <w:rPr>
          <w:rFonts w:ascii="Times New Roman" w:hAnsi="Times New Roman" w:cs="Times New Roman"/>
          <w:sz w:val="24"/>
          <w:szCs w:val="24"/>
        </w:rPr>
        <w:t>konsumen</w:t>
      </w:r>
      <w:proofErr w:type="spellEnd"/>
      <w:r w:rsidR="00301B18">
        <w:rPr>
          <w:rFonts w:ascii="Times New Roman" w:hAnsi="Times New Roman" w:cs="Times New Roman"/>
          <w:sz w:val="24"/>
          <w:szCs w:val="24"/>
        </w:rPr>
        <w:t xml:space="preserve">. </w:t>
      </w:r>
    </w:p>
    <w:p w14:paraId="75120C81" w14:textId="77777777" w:rsidR="00301B18" w:rsidRPr="00301B18" w:rsidRDefault="00301B18" w:rsidP="00301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p>
    <w:p w14:paraId="441EFB90" w14:textId="77777777" w:rsidR="0017578E" w:rsidRPr="0017578E" w:rsidRDefault="0017578E"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b/>
          <w:bCs/>
          <w:sz w:val="24"/>
          <w:szCs w:val="24"/>
        </w:rPr>
      </w:pPr>
    </w:p>
    <w:p w14:paraId="77D9871A" w14:textId="77777777" w:rsidR="00257968" w:rsidRPr="00257968" w:rsidRDefault="00257968" w:rsidP="00257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p>
    <w:p w14:paraId="13BBB3D2" w14:textId="77777777" w:rsidR="00B75FCA" w:rsidRDefault="00B75FCA" w:rsidP="00317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p>
    <w:p w14:paraId="22EE4041" w14:textId="77777777" w:rsidR="00B75FCA" w:rsidRDefault="00C3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CONCLUSION</w:t>
      </w:r>
    </w:p>
    <w:p w14:paraId="5C139115" w14:textId="0A6A8606" w:rsidR="00B75FCA" w:rsidRPr="00E60032" w:rsidRDefault="003F4559" w:rsidP="00E6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koliling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diLombok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pasar kopi.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Lombok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Peneliitain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TPB.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norma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control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keliling</w:t>
      </w:r>
      <w:proofErr w:type="spellEnd"/>
      <w:r>
        <w:rPr>
          <w:rFonts w:ascii="Times New Roman" w:hAnsi="Times New Roman" w:cs="Times New Roman"/>
          <w:sz w:val="24"/>
          <w:szCs w:val="24"/>
        </w:rPr>
        <w:t>.</w:t>
      </w:r>
    </w:p>
    <w:p w14:paraId="75B1BDEC" w14:textId="77777777" w:rsidR="00B75FCA" w:rsidRDefault="00C359ED">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roofErr w:type="gramStart"/>
      <w:r>
        <w:rPr>
          <w:rFonts w:ascii="Times New Roman" w:eastAsia="Times New Roman" w:hAnsi="Times New Roman" w:cs="Times New Roman"/>
          <w:b/>
          <w:bC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ACKNOWLEDGMENTS</w:t>
      </w:r>
      <w:proofErr w:type="gramEnd"/>
    </w:p>
    <w:p w14:paraId="4E47EFB1" w14:textId="3EE19652" w:rsidR="00B75FCA" w:rsidRPr="00F341BB" w:rsidRDefault="00F341BB" w:rsidP="00F34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mengucapkan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meluangkan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Selain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memerikan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terimaksih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tulisannya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sidR="00C359ED">
        <w:rPr>
          <w:rFonts w:ascii="Times New Roman" w:eastAsia="Times New Roman" w:hAnsi="Times New Roman" w:cs="Times New Roman"/>
          <w:sz w:val="24"/>
          <w:szCs w:val="24"/>
        </w:rPr>
        <w:t>.</w:t>
      </w:r>
    </w:p>
    <w:p w14:paraId="38C3390F" w14:textId="77777777" w:rsidR="00B75FCA" w:rsidRDefault="00C359ED">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BIBLIOGRAPHY</w:t>
      </w:r>
    </w:p>
    <w:p w14:paraId="4C6C1B15"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D10A91">
        <w:rPr>
          <w:rFonts w:ascii="Times New Roman" w:hAnsi="Times New Roman" w:cs="Times New Roman"/>
          <w:noProof/>
          <w:sz w:val="24"/>
          <w:szCs w:val="24"/>
        </w:rPr>
        <w:t xml:space="preserve">Ahmed, N., Li, C., Khan, A., Qalati, S. A., Naz, S., &amp; Rana, F. (2025). Chinese consumers’ perceptions, attitude, and purchase intention of organic products. </w:t>
      </w:r>
      <w:r w:rsidRPr="00D10A91">
        <w:rPr>
          <w:rFonts w:ascii="Times New Roman" w:hAnsi="Times New Roman" w:cs="Times New Roman"/>
          <w:i/>
          <w:iCs/>
          <w:noProof/>
          <w:sz w:val="24"/>
          <w:szCs w:val="24"/>
        </w:rPr>
        <w:t>Appetite</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214</w:t>
      </w:r>
      <w:r w:rsidRPr="00D10A91">
        <w:rPr>
          <w:rFonts w:ascii="Times New Roman" w:hAnsi="Times New Roman" w:cs="Times New Roman"/>
          <w:noProof/>
          <w:sz w:val="24"/>
          <w:szCs w:val="24"/>
        </w:rPr>
        <w:t>(5), 108142. https://doi.org/10.1080/09640568.2020.1785404</w:t>
      </w:r>
    </w:p>
    <w:p w14:paraId="6A57E22C"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Aini, F., Maulidiyah, R., &amp; Hidayanto, M. F. (2022). Pengaruh gaya hidup dan sikap konsumen terhadap keputusan pembelian. </w:t>
      </w:r>
      <w:r w:rsidRPr="00D10A91">
        <w:rPr>
          <w:rFonts w:ascii="Times New Roman" w:hAnsi="Times New Roman" w:cs="Times New Roman"/>
          <w:i/>
          <w:iCs/>
          <w:noProof/>
          <w:sz w:val="24"/>
          <w:szCs w:val="24"/>
        </w:rPr>
        <w:t>JURNAL MANAJEMEN</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14</w:t>
      </w:r>
      <w:r w:rsidRPr="00D10A91">
        <w:rPr>
          <w:rFonts w:ascii="Times New Roman" w:hAnsi="Times New Roman" w:cs="Times New Roman"/>
          <w:noProof/>
          <w:sz w:val="24"/>
          <w:szCs w:val="24"/>
        </w:rPr>
        <w:t>(1), 83–90. https://doi.org/10.30872/JMMN.V14I1.10638</w:t>
      </w:r>
    </w:p>
    <w:p w14:paraId="488CA141"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Ajzen, I. (1991). The theory of planned behavior. </w:t>
      </w:r>
      <w:r w:rsidRPr="00D10A91">
        <w:rPr>
          <w:rFonts w:ascii="Times New Roman" w:hAnsi="Times New Roman" w:cs="Times New Roman"/>
          <w:i/>
          <w:iCs/>
          <w:noProof/>
          <w:sz w:val="24"/>
          <w:szCs w:val="24"/>
        </w:rPr>
        <w:t>Organizational Behavior and Human Decision Processes</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50</w:t>
      </w:r>
      <w:r w:rsidRPr="00D10A91">
        <w:rPr>
          <w:rFonts w:ascii="Times New Roman" w:hAnsi="Times New Roman" w:cs="Times New Roman"/>
          <w:noProof/>
          <w:sz w:val="24"/>
          <w:szCs w:val="24"/>
        </w:rPr>
        <w:t>(2), 179–211. https://doi.org/10.1016/0749-5978(91)90020-T</w:t>
      </w:r>
    </w:p>
    <w:p w14:paraId="56130A56"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Akhavannasab, S., &amp; Roschk, H. (2026). Exploring the process of consumer empowerment: The role of perceived control in consumer power. </w:t>
      </w:r>
      <w:r w:rsidRPr="00D10A91">
        <w:rPr>
          <w:rFonts w:ascii="Times New Roman" w:hAnsi="Times New Roman" w:cs="Times New Roman"/>
          <w:i/>
          <w:iCs/>
          <w:noProof/>
          <w:sz w:val="24"/>
          <w:szCs w:val="24"/>
        </w:rPr>
        <w:t>Journal of Retailing and Consumer Services</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92</w:t>
      </w:r>
      <w:r w:rsidRPr="00D10A91">
        <w:rPr>
          <w:rFonts w:ascii="Times New Roman" w:hAnsi="Times New Roman" w:cs="Times New Roman"/>
          <w:noProof/>
          <w:sz w:val="24"/>
          <w:szCs w:val="24"/>
        </w:rPr>
        <w:t>, 104811. https://doi.org/10.1016/J.JRETCONSER.2026.104811</w:t>
      </w:r>
    </w:p>
    <w:p w14:paraId="33806946"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Amadea, M. B., Ariani, M., &amp; Wibowo, J. M. (2025). Analysis of Consumer Behavior of Mobile Coffee As a Modern Lifestyle of the Younger Generation Analisis Perilaku Konsumen Kopi Keliling Sebagai Gaya Hidup Modern Generasi Muda. </w:t>
      </w:r>
      <w:r w:rsidRPr="00D10A91">
        <w:rPr>
          <w:rFonts w:ascii="Times New Roman" w:hAnsi="Times New Roman" w:cs="Times New Roman"/>
          <w:i/>
          <w:iCs/>
          <w:noProof/>
          <w:sz w:val="24"/>
          <w:szCs w:val="24"/>
        </w:rPr>
        <w:t>COSTING: Journal of Economic, Business and Accounting</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8</w:t>
      </w:r>
      <w:r w:rsidRPr="00D10A91">
        <w:rPr>
          <w:rFonts w:ascii="Times New Roman" w:hAnsi="Times New Roman" w:cs="Times New Roman"/>
          <w:noProof/>
          <w:sz w:val="24"/>
          <w:szCs w:val="24"/>
        </w:rPr>
        <w:t>, 252–263.</w:t>
      </w:r>
    </w:p>
    <w:p w14:paraId="605368B6"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Amaro, S., &amp; Duarte, P. (2015). An integrative model of consumers’ intentions to purchase travel online. </w:t>
      </w:r>
      <w:r w:rsidRPr="00D10A91">
        <w:rPr>
          <w:rFonts w:ascii="Times New Roman" w:hAnsi="Times New Roman" w:cs="Times New Roman"/>
          <w:i/>
          <w:iCs/>
          <w:noProof/>
          <w:sz w:val="24"/>
          <w:szCs w:val="24"/>
        </w:rPr>
        <w:t>Tourism Management</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46</w:t>
      </w:r>
      <w:r w:rsidRPr="00D10A91">
        <w:rPr>
          <w:rFonts w:ascii="Times New Roman" w:hAnsi="Times New Roman" w:cs="Times New Roman"/>
          <w:noProof/>
          <w:sz w:val="24"/>
          <w:szCs w:val="24"/>
        </w:rPr>
        <w:t>, 64–79. https://doi.org/10.1016/j.tourman.2014.06.006</w:t>
      </w:r>
    </w:p>
    <w:p w14:paraId="7AE4F67D"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Auh, S., Menguc, B., Katsikeas, C. S., &amp; Jung, Y. S. (2019). When Does Customer Participation Matter? An Empirical Investigation of the Role of Customer Empowerment in the Customer Participation–Performance Link. </w:t>
      </w:r>
      <w:r w:rsidRPr="00D10A91">
        <w:rPr>
          <w:rFonts w:ascii="Times New Roman" w:hAnsi="Times New Roman" w:cs="Times New Roman"/>
          <w:i/>
          <w:iCs/>
          <w:noProof/>
          <w:sz w:val="24"/>
          <w:szCs w:val="24"/>
        </w:rPr>
        <w:t>Journal of Marketing Research</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56</w:t>
      </w:r>
      <w:r w:rsidRPr="00D10A91">
        <w:rPr>
          <w:rFonts w:ascii="Times New Roman" w:hAnsi="Times New Roman" w:cs="Times New Roman"/>
          <w:noProof/>
          <w:sz w:val="24"/>
          <w:szCs w:val="24"/>
        </w:rPr>
        <w:t>(6), 1012–1033. https://doi.org/10.1177/0022243719866408;ISSUE:ISSUE:DOI</w:t>
      </w:r>
    </w:p>
    <w:p w14:paraId="3CD11A96"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Averill, J. R. (1973). Personal control over aversive stimuli and its relationship to stress. </w:t>
      </w:r>
      <w:r w:rsidRPr="00D10A91">
        <w:rPr>
          <w:rFonts w:ascii="Times New Roman" w:hAnsi="Times New Roman" w:cs="Times New Roman"/>
          <w:i/>
          <w:iCs/>
          <w:noProof/>
          <w:sz w:val="24"/>
          <w:szCs w:val="24"/>
        </w:rPr>
        <w:t xml:space="preserve">Psychological </w:t>
      </w:r>
      <w:r w:rsidRPr="00D10A91">
        <w:rPr>
          <w:rFonts w:ascii="Times New Roman" w:hAnsi="Times New Roman" w:cs="Times New Roman"/>
          <w:i/>
          <w:iCs/>
          <w:noProof/>
          <w:sz w:val="24"/>
          <w:szCs w:val="24"/>
        </w:rPr>
        <w:lastRenderedPageBreak/>
        <w:t>Bulletin</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80</w:t>
      </w:r>
      <w:r w:rsidRPr="00D10A91">
        <w:rPr>
          <w:rFonts w:ascii="Times New Roman" w:hAnsi="Times New Roman" w:cs="Times New Roman"/>
          <w:noProof/>
          <w:sz w:val="24"/>
          <w:szCs w:val="24"/>
        </w:rPr>
        <w:t>(4), 286–303. https://doi.org/10.1037/H0034845</w:t>
      </w:r>
    </w:p>
    <w:p w14:paraId="3CF5CC07"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Calderon-Monge, E., Redondo-Rodriguez, R. G., &amp; Ramírez-Hurtado, J. M. (2021). Narrowing the gap between consumer purchasing intention and behaviour through ecolabelling: a challenge for eco-entrepreneurism. </w:t>
      </w:r>
      <w:r w:rsidRPr="00D10A91">
        <w:rPr>
          <w:rFonts w:ascii="Times New Roman" w:hAnsi="Times New Roman" w:cs="Times New Roman"/>
          <w:i/>
          <w:iCs/>
          <w:noProof/>
          <w:sz w:val="24"/>
          <w:szCs w:val="24"/>
        </w:rPr>
        <w:t>British Food Journal</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123</w:t>
      </w:r>
      <w:r w:rsidRPr="00D10A91">
        <w:rPr>
          <w:rFonts w:ascii="Times New Roman" w:hAnsi="Times New Roman" w:cs="Times New Roman"/>
          <w:noProof/>
          <w:sz w:val="24"/>
          <w:szCs w:val="24"/>
        </w:rPr>
        <w:t>(10), 3293–3308. https://doi.org/10.1108/BFJ-09-2020-0874</w:t>
      </w:r>
    </w:p>
    <w:p w14:paraId="3CA0F2B9"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Christens, B. D., Peterson, N. A., &amp; Speer, P. W. (2011). Community participation and psychological empowerment: Testing reciprocal causality using a cross-lagged panel design and latent constructs. </w:t>
      </w:r>
      <w:r w:rsidRPr="00D10A91">
        <w:rPr>
          <w:rFonts w:ascii="Times New Roman" w:hAnsi="Times New Roman" w:cs="Times New Roman"/>
          <w:i/>
          <w:iCs/>
          <w:noProof/>
          <w:sz w:val="24"/>
          <w:szCs w:val="24"/>
        </w:rPr>
        <w:t>Health Education and Behavior</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38</w:t>
      </w:r>
      <w:r w:rsidRPr="00D10A91">
        <w:rPr>
          <w:rFonts w:ascii="Times New Roman" w:hAnsi="Times New Roman" w:cs="Times New Roman"/>
          <w:noProof/>
          <w:sz w:val="24"/>
          <w:szCs w:val="24"/>
        </w:rPr>
        <w:t>(4), 339–347. https://doi.org/10.1177/1090198110372880;WEBSITE:WEBSITE:SAGE;WGROUP:STRING:PUBLICATION</w:t>
      </w:r>
    </w:p>
    <w:p w14:paraId="058C764E"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Chunhua, J., Shuo, W., Zhirong, H., Li-Wei, L., &amp; Jing, Y. (2023). Application of the extended value-belief-norm (VBN) theory to understand consumers’ intention to use autonomous delivery vehicles (ADVs). </w:t>
      </w:r>
      <w:r w:rsidRPr="00D10A91">
        <w:rPr>
          <w:rFonts w:ascii="Times New Roman" w:hAnsi="Times New Roman" w:cs="Times New Roman"/>
          <w:i/>
          <w:iCs/>
          <w:noProof/>
          <w:sz w:val="24"/>
          <w:szCs w:val="24"/>
        </w:rPr>
        <w:t>Heliyon</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9</w:t>
      </w:r>
      <w:r w:rsidRPr="00D10A91">
        <w:rPr>
          <w:rFonts w:ascii="Times New Roman" w:hAnsi="Times New Roman" w:cs="Times New Roman"/>
          <w:noProof/>
          <w:sz w:val="24"/>
          <w:szCs w:val="24"/>
        </w:rPr>
        <w:t>(9), e20244. https://doi.org/10.1016/J.HELIYON.2023.E20244</w:t>
      </w:r>
    </w:p>
    <w:p w14:paraId="78A352AB"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Dash, G., Kiefer, K., &amp; Paul, J. (2021). Marketing-to-Millennials: Marketing 4.0, customer satisfaction and purchase intention. </w:t>
      </w:r>
      <w:r w:rsidRPr="00D10A91">
        <w:rPr>
          <w:rFonts w:ascii="Times New Roman" w:hAnsi="Times New Roman" w:cs="Times New Roman"/>
          <w:i/>
          <w:iCs/>
          <w:noProof/>
          <w:sz w:val="24"/>
          <w:szCs w:val="24"/>
        </w:rPr>
        <w:t>Journal of Business Research</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122</w:t>
      </w:r>
      <w:r w:rsidRPr="00D10A91">
        <w:rPr>
          <w:rFonts w:ascii="Times New Roman" w:hAnsi="Times New Roman" w:cs="Times New Roman"/>
          <w:noProof/>
          <w:sz w:val="24"/>
          <w:szCs w:val="24"/>
        </w:rPr>
        <w:t>, 608–620. https://doi.org/10.1016/j.jbusres.2020.10.016</w:t>
      </w:r>
    </w:p>
    <w:p w14:paraId="2CA75D23"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Farid, M. S., Cavicchi, A., Rahman, M. M., Barua, S., Ethen, D. Z., Happy, F. A., Rasheduzzaman, M., Sharma, D., &amp; Alam, M. J. (2023). Assessment of marketing mix associated with consumer’s purchase intention of dairy products in Bangladesh: Application of an extended theory of planned behavior. </w:t>
      </w:r>
      <w:r w:rsidRPr="00D10A91">
        <w:rPr>
          <w:rFonts w:ascii="Times New Roman" w:hAnsi="Times New Roman" w:cs="Times New Roman"/>
          <w:i/>
          <w:iCs/>
          <w:noProof/>
          <w:sz w:val="24"/>
          <w:szCs w:val="24"/>
        </w:rPr>
        <w:t>Heliyon</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9</w:t>
      </w:r>
      <w:r w:rsidRPr="00D10A91">
        <w:rPr>
          <w:rFonts w:ascii="Times New Roman" w:hAnsi="Times New Roman" w:cs="Times New Roman"/>
          <w:noProof/>
          <w:sz w:val="24"/>
          <w:szCs w:val="24"/>
        </w:rPr>
        <w:t>(6), e16657. https://doi.org/10.1016/J.HELIYON.2023.E16657</w:t>
      </w:r>
    </w:p>
    <w:p w14:paraId="2BACDAA9"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Farzin, M., Sadeghi, M., Fattahi, M., &amp; Eghbal, M. R. (2022). Effect of Social Media Marketing and eWOM on Willingness to Pay in the Etailing: Mediating Role of Brand Equity and Brand Identity. </w:t>
      </w:r>
      <w:r w:rsidRPr="00D10A91">
        <w:rPr>
          <w:rFonts w:ascii="Times New Roman" w:hAnsi="Times New Roman" w:cs="Times New Roman"/>
          <w:i/>
          <w:iCs/>
          <w:noProof/>
          <w:sz w:val="24"/>
          <w:szCs w:val="24"/>
        </w:rPr>
        <w:t>Business Perspectives and Research</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10</w:t>
      </w:r>
      <w:r w:rsidRPr="00D10A91">
        <w:rPr>
          <w:rFonts w:ascii="Times New Roman" w:hAnsi="Times New Roman" w:cs="Times New Roman"/>
          <w:noProof/>
          <w:sz w:val="24"/>
          <w:szCs w:val="24"/>
        </w:rPr>
        <w:t>(3), 327–343. https://doi.org/10.1177/22785337211024926</w:t>
      </w:r>
    </w:p>
    <w:p w14:paraId="214D6228"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Gavrila, A. (2025). </w:t>
      </w:r>
      <w:r w:rsidRPr="00D10A91">
        <w:rPr>
          <w:rFonts w:ascii="Times New Roman" w:hAnsi="Times New Roman" w:cs="Times New Roman"/>
          <w:i/>
          <w:iCs/>
          <w:noProof/>
          <w:sz w:val="24"/>
          <w:szCs w:val="24"/>
        </w:rPr>
        <w:t>Tidak Mati Akal, Melihat Gen Z dalam Fenomena Bisnis Kopi Keliling - GoodStats</w:t>
      </w:r>
      <w:r w:rsidRPr="00D10A91">
        <w:rPr>
          <w:rFonts w:ascii="Times New Roman" w:hAnsi="Times New Roman" w:cs="Times New Roman"/>
          <w:noProof/>
          <w:sz w:val="24"/>
          <w:szCs w:val="24"/>
        </w:rPr>
        <w:t>. https://goodstats.id/article/tidak-mati-akal-gen-z-dan-fenomena-bisnis-kopi-keliling-OgliK</w:t>
      </w:r>
    </w:p>
    <w:p w14:paraId="30BB6D6D"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Ho Nguyen, H., Nguyen-Viet, B., Hoang Nguyen, Y. T., &amp; Hoang Le, T. (2022). Understanding online purchase intention: the mediating role of attitude towards advertising. </w:t>
      </w:r>
      <w:r w:rsidRPr="00D10A91">
        <w:rPr>
          <w:rFonts w:ascii="Times New Roman" w:hAnsi="Times New Roman" w:cs="Times New Roman"/>
          <w:i/>
          <w:iCs/>
          <w:noProof/>
          <w:sz w:val="24"/>
          <w:szCs w:val="24"/>
        </w:rPr>
        <w:t>Cogent Business &amp; Management</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9</w:t>
      </w:r>
      <w:r w:rsidRPr="00D10A91">
        <w:rPr>
          <w:rFonts w:ascii="Times New Roman" w:hAnsi="Times New Roman" w:cs="Times New Roman"/>
          <w:noProof/>
          <w:sz w:val="24"/>
          <w:szCs w:val="24"/>
        </w:rPr>
        <w:t>(1). https://doi.org/10.1080/23311975.2022.2095950</w:t>
      </w:r>
    </w:p>
    <w:p w14:paraId="2161C0B9"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Ingendahl, M. (2026). How endorsers’ faces shape perceptions of brand warmth and competence. </w:t>
      </w:r>
      <w:r w:rsidRPr="00D10A91">
        <w:rPr>
          <w:rFonts w:ascii="Times New Roman" w:hAnsi="Times New Roman" w:cs="Times New Roman"/>
          <w:i/>
          <w:iCs/>
          <w:noProof/>
          <w:sz w:val="24"/>
          <w:szCs w:val="24"/>
        </w:rPr>
        <w:t>Marketing Letters</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37</w:t>
      </w:r>
      <w:r w:rsidRPr="00D10A91">
        <w:rPr>
          <w:rFonts w:ascii="Times New Roman" w:hAnsi="Times New Roman" w:cs="Times New Roman"/>
          <w:noProof/>
          <w:sz w:val="24"/>
          <w:szCs w:val="24"/>
        </w:rPr>
        <w:t>(1). https://doi.org/10.1007/s11002-025-09801-6</w:t>
      </w:r>
    </w:p>
    <w:p w14:paraId="3E2B2FAE"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Islam, M. A., Saidin, Z. H., Ayub, M. A., &amp; Islam, M. S. (2022). Modelling behavioural intention to buy apartments in Bangladesh: An extended theory of planned behaviour (TPB). </w:t>
      </w:r>
      <w:r w:rsidRPr="00D10A91">
        <w:rPr>
          <w:rFonts w:ascii="Times New Roman" w:hAnsi="Times New Roman" w:cs="Times New Roman"/>
          <w:i/>
          <w:iCs/>
          <w:noProof/>
          <w:sz w:val="24"/>
          <w:szCs w:val="24"/>
        </w:rPr>
        <w:t>Heliyon</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8</w:t>
      </w:r>
      <w:r w:rsidRPr="00D10A91">
        <w:rPr>
          <w:rFonts w:ascii="Times New Roman" w:hAnsi="Times New Roman" w:cs="Times New Roman"/>
          <w:noProof/>
          <w:sz w:val="24"/>
          <w:szCs w:val="24"/>
        </w:rPr>
        <w:t>(9), e10519. https://doi.org/10.1016/j.heliyon.2022.e10519</w:t>
      </w:r>
    </w:p>
    <w:p w14:paraId="19D10213"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lastRenderedPageBreak/>
        <w:t xml:space="preserve">Kisook, K., &amp; Booyoung, O. (2023). Factors Associated with Stress among Employed Korean Cancer Survivors: A Cross-sectional Descriptive Study Based on National Data. </w:t>
      </w:r>
      <w:r w:rsidRPr="00D10A91">
        <w:rPr>
          <w:rFonts w:ascii="Times New Roman" w:hAnsi="Times New Roman" w:cs="Times New Roman"/>
          <w:i/>
          <w:iCs/>
          <w:noProof/>
          <w:sz w:val="24"/>
          <w:szCs w:val="24"/>
        </w:rPr>
        <w:t>Korean Journal of Adult Nursing</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35</w:t>
      </w:r>
      <w:r w:rsidRPr="00D10A91">
        <w:rPr>
          <w:rFonts w:ascii="Times New Roman" w:hAnsi="Times New Roman" w:cs="Times New Roman"/>
          <w:noProof/>
          <w:sz w:val="24"/>
          <w:szCs w:val="24"/>
        </w:rPr>
        <w:t>(3), 254–263. https://doi.org/10.7475/KJAN.2023.35.3.254</w:t>
      </w:r>
    </w:p>
    <w:p w14:paraId="024960E8"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Koay, K. Y., Cheah, C. W., &amp; Goon, S. W.-U. (2023). How Do Perceived Social Media Marketing Activities Foster Purchase Intentions? A Multiple Sequential Mediation Model. </w:t>
      </w:r>
      <w:r w:rsidRPr="00D10A91">
        <w:rPr>
          <w:rFonts w:ascii="Times New Roman" w:hAnsi="Times New Roman" w:cs="Times New Roman"/>
          <w:i/>
          <w:iCs/>
          <w:noProof/>
          <w:sz w:val="24"/>
          <w:szCs w:val="24"/>
        </w:rPr>
        <w:t>Journal of Global Marketing</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36</w:t>
      </w:r>
      <w:r w:rsidRPr="00D10A91">
        <w:rPr>
          <w:rFonts w:ascii="Times New Roman" w:hAnsi="Times New Roman" w:cs="Times New Roman"/>
          <w:noProof/>
          <w:sz w:val="24"/>
          <w:szCs w:val="24"/>
        </w:rPr>
        <w:t>(3), 210–224. https://doi.org/10.1080/08911762.2023.2207072</w:t>
      </w:r>
    </w:p>
    <w:p w14:paraId="54175B21"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Lubis, A. T., Nizoru, A., Firmansyah, Dewi, E., &amp; Ningsih, M. (2022). </w:t>
      </w:r>
      <w:r w:rsidRPr="00D10A91">
        <w:rPr>
          <w:rFonts w:ascii="Times New Roman" w:hAnsi="Times New Roman" w:cs="Times New Roman"/>
          <w:i/>
          <w:iCs/>
          <w:noProof/>
          <w:sz w:val="24"/>
          <w:szCs w:val="24"/>
        </w:rPr>
        <w:t>Gastronomi Sebagai Penopang Pariwisata</w:t>
      </w:r>
      <w:r w:rsidRPr="00D10A91">
        <w:rPr>
          <w:rFonts w:ascii="Times New Roman" w:hAnsi="Times New Roman" w:cs="Times New Roman"/>
          <w:noProof/>
          <w:sz w:val="24"/>
          <w:szCs w:val="24"/>
        </w:rPr>
        <w:t>. Salim Media.</w:t>
      </w:r>
    </w:p>
    <w:p w14:paraId="1F0FD955"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Madden, T. J., Ellen, P. S., &amp; Ajzen, I. (1992). A Comparison of the Theory of Planned Behavior and the Theory of Reasoned Action. </w:t>
      </w:r>
      <w:r w:rsidRPr="00D10A91">
        <w:rPr>
          <w:rFonts w:ascii="Times New Roman" w:hAnsi="Times New Roman" w:cs="Times New Roman"/>
          <w:i/>
          <w:iCs/>
          <w:noProof/>
          <w:sz w:val="24"/>
          <w:szCs w:val="24"/>
        </w:rPr>
        <w:t>Personality and Social Psychology Bulletin</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18</w:t>
      </w:r>
      <w:r w:rsidRPr="00D10A91">
        <w:rPr>
          <w:rFonts w:ascii="Times New Roman" w:hAnsi="Times New Roman" w:cs="Times New Roman"/>
          <w:noProof/>
          <w:sz w:val="24"/>
          <w:szCs w:val="24"/>
        </w:rPr>
        <w:t>(1), 3–9. https://doi.org/10.1177/0146167292181001</w:t>
      </w:r>
    </w:p>
    <w:p w14:paraId="3E116247"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Malini, H. (2021). Gaya Konsumsi dan Perilaku Konsumen Generasi Z di Warung Kopi. </w:t>
      </w:r>
      <w:r w:rsidRPr="00D10A91">
        <w:rPr>
          <w:rFonts w:ascii="Times New Roman" w:hAnsi="Times New Roman" w:cs="Times New Roman"/>
          <w:i/>
          <w:iCs/>
          <w:noProof/>
          <w:sz w:val="24"/>
          <w:szCs w:val="24"/>
        </w:rPr>
        <w:t>Prosiding Seminar Nasional SATIESP</w:t>
      </w:r>
      <w:r w:rsidRPr="00D10A91">
        <w:rPr>
          <w:rFonts w:ascii="Times New Roman" w:hAnsi="Times New Roman" w:cs="Times New Roman"/>
          <w:noProof/>
          <w:sz w:val="24"/>
          <w:szCs w:val="24"/>
        </w:rPr>
        <w:t>, 978–602.</w:t>
      </w:r>
    </w:p>
    <w:p w14:paraId="3BF413D0"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Mulyono, N. B., Pambudi, N. F., Larasati, N., &amp; Hidayat, I. (2023). Inherent needs of sharing logistic in mobility sharing transportation system. </w:t>
      </w:r>
      <w:r w:rsidRPr="00D10A91">
        <w:rPr>
          <w:rFonts w:ascii="Times New Roman" w:hAnsi="Times New Roman" w:cs="Times New Roman"/>
          <w:i/>
          <w:iCs/>
          <w:noProof/>
          <w:sz w:val="24"/>
          <w:szCs w:val="24"/>
        </w:rPr>
        <w:t>International Journal of Economic Policy in Emerging Economies</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18</w:t>
      </w:r>
      <w:r w:rsidRPr="00D10A91">
        <w:rPr>
          <w:rFonts w:ascii="Times New Roman" w:hAnsi="Times New Roman" w:cs="Times New Roman"/>
          <w:noProof/>
          <w:sz w:val="24"/>
          <w:szCs w:val="24"/>
        </w:rPr>
        <w:t>(3–4), 398–418. https://doi.org/10.1504/IJEPEE.2023.136304</w:t>
      </w:r>
    </w:p>
    <w:p w14:paraId="1DA8DA1F"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Oppong, P. K., Oppong Mensah, N., &amp; Berko, D. (2025). Word-Of-Mouth and Willingness to Pay (WTP) Price Premium: Mediating Role of Herbal Brand Credibility and Brand Trust in Ghana. </w:t>
      </w:r>
      <w:r w:rsidRPr="00D10A91">
        <w:rPr>
          <w:rFonts w:ascii="Times New Roman" w:hAnsi="Times New Roman" w:cs="Times New Roman"/>
          <w:i/>
          <w:iCs/>
          <w:noProof/>
          <w:sz w:val="24"/>
          <w:szCs w:val="24"/>
        </w:rPr>
        <w:t>Journal of African Business</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26</w:t>
      </w:r>
      <w:r w:rsidRPr="00D10A91">
        <w:rPr>
          <w:rFonts w:ascii="Times New Roman" w:hAnsi="Times New Roman" w:cs="Times New Roman"/>
          <w:noProof/>
          <w:sz w:val="24"/>
          <w:szCs w:val="24"/>
        </w:rPr>
        <w:t>(1), 47–64. https://doi.org/10.1080/15228916.2023.2277574</w:t>
      </w:r>
    </w:p>
    <w:p w14:paraId="71C49CA5"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Rizky, H., Khrisnanda, R., Made, I., &amp; Dirgantara, B. (2021). THE EFFECT OF BRAND AWARENESS, BRAND IMAGE, AND BRAND  CREDIBILITY ON OPPO MOBILE PHONE BRAND PRODUCT PURCHASE  INTENTION. </w:t>
      </w:r>
      <w:r w:rsidRPr="00D10A91">
        <w:rPr>
          <w:rFonts w:ascii="Times New Roman" w:hAnsi="Times New Roman" w:cs="Times New Roman"/>
          <w:i/>
          <w:iCs/>
          <w:noProof/>
          <w:sz w:val="24"/>
          <w:szCs w:val="24"/>
        </w:rPr>
        <w:t>Diponegoro Journal of Management</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10</w:t>
      </w:r>
      <w:r w:rsidRPr="00D10A91">
        <w:rPr>
          <w:rFonts w:ascii="Times New Roman" w:hAnsi="Times New Roman" w:cs="Times New Roman"/>
          <w:noProof/>
          <w:sz w:val="24"/>
          <w:szCs w:val="24"/>
        </w:rPr>
        <w:t>(2). https://ejournal3.undip.ac.id/index.php/djom/article/view/30980</w:t>
      </w:r>
    </w:p>
    <w:p w14:paraId="1EBA476D"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Rizvi, W. H., &amp; Oney, E. (2018). The influence of emotional confidence on brand attitude: using brand belief as mediating variable. </w:t>
      </w:r>
      <w:r w:rsidRPr="00D10A91">
        <w:rPr>
          <w:rFonts w:ascii="Times New Roman" w:hAnsi="Times New Roman" w:cs="Times New Roman"/>
          <w:i/>
          <w:iCs/>
          <w:noProof/>
          <w:sz w:val="24"/>
          <w:szCs w:val="24"/>
        </w:rPr>
        <w:t>Economic Research-Ekonomska Istraživanja</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31</w:t>
      </w:r>
      <w:r w:rsidRPr="00D10A91">
        <w:rPr>
          <w:rFonts w:ascii="Times New Roman" w:hAnsi="Times New Roman" w:cs="Times New Roman"/>
          <w:noProof/>
          <w:sz w:val="24"/>
          <w:szCs w:val="24"/>
        </w:rPr>
        <w:t>(1), 158–170. https://doi.org/10.1080/1331677X.2017.1421993</w:t>
      </w:r>
    </w:p>
    <w:p w14:paraId="6B52E036"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Saepudin, D., Shojaei, A. S., Barbosa, B., &amp; Pedrosa, I. (2023). Intention to Purchase Eco-Friendly Handcrafted Fashion Products for Gifting and Personal Use: A Comparison of National and Foreign Consumers. </w:t>
      </w:r>
      <w:r w:rsidRPr="00D10A91">
        <w:rPr>
          <w:rFonts w:ascii="Times New Roman" w:hAnsi="Times New Roman" w:cs="Times New Roman"/>
          <w:i/>
          <w:iCs/>
          <w:noProof/>
          <w:sz w:val="24"/>
          <w:szCs w:val="24"/>
        </w:rPr>
        <w:t>Behavioral Sciences</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13</w:t>
      </w:r>
      <w:r w:rsidRPr="00D10A91">
        <w:rPr>
          <w:rFonts w:ascii="Times New Roman" w:hAnsi="Times New Roman" w:cs="Times New Roman"/>
          <w:noProof/>
          <w:sz w:val="24"/>
          <w:szCs w:val="24"/>
        </w:rPr>
        <w:t>(2), 171. https://doi.org/10.3390/bs13020171</w:t>
      </w:r>
    </w:p>
    <w:p w14:paraId="6570599F"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Saleem, M., &amp; Saleem, M. (2025). Production and evaluation of activated carbon from Saudi Arabian Acacia Tortilis tree bark by microwave and low temperature activation process. </w:t>
      </w:r>
      <w:r w:rsidRPr="00D10A91">
        <w:rPr>
          <w:rFonts w:ascii="Times New Roman" w:hAnsi="Times New Roman" w:cs="Times New Roman"/>
          <w:i/>
          <w:iCs/>
          <w:noProof/>
          <w:sz w:val="24"/>
          <w:szCs w:val="24"/>
        </w:rPr>
        <w:t>Yanbu Journal of Engineering and Science</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20</w:t>
      </w:r>
      <w:r w:rsidRPr="00D10A91">
        <w:rPr>
          <w:rFonts w:ascii="Times New Roman" w:hAnsi="Times New Roman" w:cs="Times New Roman"/>
          <w:noProof/>
          <w:sz w:val="24"/>
          <w:szCs w:val="24"/>
        </w:rPr>
        <w:t>(2), 44–51. https://doi.org/10.53370/001c.92144</w:t>
      </w:r>
    </w:p>
    <w:p w14:paraId="222B1915"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Sekaran, U., &amp; Bougie, R. (2016). </w:t>
      </w:r>
      <w:r w:rsidRPr="00D10A91">
        <w:rPr>
          <w:rFonts w:ascii="Times New Roman" w:hAnsi="Times New Roman" w:cs="Times New Roman"/>
          <w:i/>
          <w:iCs/>
          <w:noProof/>
          <w:sz w:val="24"/>
          <w:szCs w:val="24"/>
        </w:rPr>
        <w:t>Research Methods for Business</w:t>
      </w:r>
      <w:r w:rsidRPr="00D10A91">
        <w:rPr>
          <w:rFonts w:ascii="Times New Roman" w:hAnsi="Times New Roman" w:cs="Times New Roman"/>
          <w:noProof/>
          <w:sz w:val="24"/>
          <w:szCs w:val="24"/>
        </w:rPr>
        <w:t xml:space="preserve"> (7th ed.).</w:t>
      </w:r>
    </w:p>
    <w:p w14:paraId="6A6DF8D1"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lastRenderedPageBreak/>
        <w:t xml:space="preserve">Shabani Shojaei, A., &amp; Barbosa, B. (2025). The impact of influencers’ credibility and consumer involvement on attitudes and purchase intention: a comparison before and after the pandemic. </w:t>
      </w:r>
      <w:r w:rsidRPr="00D10A91">
        <w:rPr>
          <w:rFonts w:ascii="Times New Roman" w:hAnsi="Times New Roman" w:cs="Times New Roman"/>
          <w:i/>
          <w:iCs/>
          <w:noProof/>
          <w:sz w:val="24"/>
          <w:szCs w:val="24"/>
        </w:rPr>
        <w:t>EuroMed Journal of Business</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21</w:t>
      </w:r>
      <w:r w:rsidRPr="00D10A91">
        <w:rPr>
          <w:rFonts w:ascii="Times New Roman" w:hAnsi="Times New Roman" w:cs="Times New Roman"/>
          <w:noProof/>
          <w:sz w:val="24"/>
          <w:szCs w:val="24"/>
        </w:rPr>
        <w:t>(5), 18–47. https://doi.org/10.1108/EMJB-02-2025-0068</w:t>
      </w:r>
    </w:p>
    <w:p w14:paraId="17EF60FD"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Silva, F. A., Shojaei, A. S., &amp; Barbosa, B. (2023). Chatbot-Based Services: A Study on Customers’ Reuse Intention. </w:t>
      </w:r>
      <w:r w:rsidRPr="00D10A91">
        <w:rPr>
          <w:rFonts w:ascii="Times New Roman" w:hAnsi="Times New Roman" w:cs="Times New Roman"/>
          <w:i/>
          <w:iCs/>
          <w:noProof/>
          <w:sz w:val="24"/>
          <w:szCs w:val="24"/>
        </w:rPr>
        <w:t>Journal of Theoretical and Applied Electronic Commerce Research</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18</w:t>
      </w:r>
      <w:r w:rsidRPr="00D10A91">
        <w:rPr>
          <w:rFonts w:ascii="Times New Roman" w:hAnsi="Times New Roman" w:cs="Times New Roman"/>
          <w:noProof/>
          <w:sz w:val="24"/>
          <w:szCs w:val="24"/>
        </w:rPr>
        <w:t>(1), 457–474. https://doi.org/10.3390/jtaer18010024</w:t>
      </w:r>
    </w:p>
    <w:p w14:paraId="55689570"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Sugiyono. (2013). Metode Penelitian Kuantitatif Dan Kualitatif Serta R&amp;D. In </w:t>
      </w:r>
      <w:r w:rsidRPr="00D10A91">
        <w:rPr>
          <w:rFonts w:ascii="Times New Roman" w:hAnsi="Times New Roman" w:cs="Times New Roman"/>
          <w:i/>
          <w:iCs/>
          <w:noProof/>
          <w:sz w:val="24"/>
          <w:szCs w:val="24"/>
        </w:rPr>
        <w:t>Alfabeta, CV</w:t>
      </w:r>
      <w:r w:rsidRPr="00D10A91">
        <w:rPr>
          <w:rFonts w:ascii="Times New Roman" w:hAnsi="Times New Roman" w:cs="Times New Roman"/>
          <w:noProof/>
          <w:sz w:val="24"/>
          <w:szCs w:val="24"/>
        </w:rPr>
        <w:t xml:space="preserve"> (Issue April).</w:t>
      </w:r>
    </w:p>
    <w:p w14:paraId="2839C720"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D10A91">
        <w:rPr>
          <w:rFonts w:ascii="Times New Roman" w:hAnsi="Times New Roman" w:cs="Times New Roman"/>
          <w:noProof/>
          <w:sz w:val="24"/>
          <w:szCs w:val="24"/>
        </w:rPr>
        <w:t xml:space="preserve">van der Werf, P., Seabrook, J. A., &amp; Gilliland, J. A. (2019). Food for naught: Using the theory of planned behaviour to better understand household food wasting behaviour. </w:t>
      </w:r>
      <w:r w:rsidRPr="00D10A91">
        <w:rPr>
          <w:rFonts w:ascii="Times New Roman" w:hAnsi="Times New Roman" w:cs="Times New Roman"/>
          <w:i/>
          <w:iCs/>
          <w:noProof/>
          <w:sz w:val="24"/>
          <w:szCs w:val="24"/>
        </w:rPr>
        <w:t>Canadian Geographies / Géographies Canadiennes</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63</w:t>
      </w:r>
      <w:r w:rsidRPr="00D10A91">
        <w:rPr>
          <w:rFonts w:ascii="Times New Roman" w:hAnsi="Times New Roman" w:cs="Times New Roman"/>
          <w:noProof/>
          <w:sz w:val="24"/>
          <w:szCs w:val="24"/>
        </w:rPr>
        <w:t>(3), 478–493. https://doi.org/10.1111/cag.12519</w:t>
      </w:r>
    </w:p>
    <w:p w14:paraId="4B98DD82" w14:textId="77777777" w:rsidR="00444A2C" w:rsidRPr="00D10A91" w:rsidRDefault="00444A2C" w:rsidP="00E60032">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D10A91">
        <w:rPr>
          <w:rFonts w:ascii="Times New Roman" w:hAnsi="Times New Roman" w:cs="Times New Roman"/>
          <w:noProof/>
          <w:sz w:val="24"/>
          <w:szCs w:val="24"/>
        </w:rPr>
        <w:t xml:space="preserve">Zahwa, A., Arimbi, P. A., &amp; dkk. (2026). </w:t>
      </w:r>
      <w:r w:rsidRPr="00D10A91">
        <w:rPr>
          <w:rFonts w:ascii="Times New Roman" w:hAnsi="Times New Roman" w:cs="Times New Roman"/>
          <w:i/>
          <w:iCs/>
          <w:noProof/>
          <w:sz w:val="24"/>
          <w:szCs w:val="24"/>
        </w:rPr>
        <w:t>Analisin efektivitas penjual kopi keliling di depan parkiran uinsu</w:t>
      </w:r>
      <w:r w:rsidRPr="00D10A91">
        <w:rPr>
          <w:rFonts w:ascii="Times New Roman" w:hAnsi="Times New Roman" w:cs="Times New Roman"/>
          <w:noProof/>
          <w:sz w:val="24"/>
          <w:szCs w:val="24"/>
        </w:rPr>
        <w:t xml:space="preserve">. </w:t>
      </w:r>
      <w:r w:rsidRPr="00D10A91">
        <w:rPr>
          <w:rFonts w:ascii="Times New Roman" w:hAnsi="Times New Roman" w:cs="Times New Roman"/>
          <w:i/>
          <w:iCs/>
          <w:noProof/>
          <w:sz w:val="24"/>
          <w:szCs w:val="24"/>
        </w:rPr>
        <w:t>4</w:t>
      </w:r>
      <w:r w:rsidRPr="00D10A91">
        <w:rPr>
          <w:rFonts w:ascii="Times New Roman" w:hAnsi="Times New Roman" w:cs="Times New Roman"/>
          <w:noProof/>
          <w:sz w:val="24"/>
          <w:szCs w:val="24"/>
        </w:rPr>
        <w:t>(1), 474–478.</w:t>
      </w:r>
    </w:p>
    <w:p w14:paraId="6FE502EB" w14:textId="4276979F" w:rsidR="00B75FCA" w:rsidRDefault="00444A2C" w:rsidP="00E6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Pr>
          <w:rFonts w:ascii="Times New Roman" w:hAnsi="Times New Roman" w:cs="Times New Roman"/>
          <w:sz w:val="24"/>
          <w:szCs w:val="24"/>
        </w:rPr>
        <w:fldChar w:fldCharType="end"/>
      </w:r>
    </w:p>
    <w:p w14:paraId="3FADF65F"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b/>
          <w:bCs/>
          <w:sz w:val="24"/>
          <w:szCs w:val="24"/>
        </w:rPr>
      </w:pPr>
    </w:p>
    <w:p w14:paraId="0FD15DE0"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6E0B192A"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b/>
          <w:bCs/>
          <w:sz w:val="32"/>
          <w:szCs w:val="32"/>
        </w:rPr>
      </w:pPr>
    </w:p>
    <w:p w14:paraId="3AD14257"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08EAD49B"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hanging="360"/>
        <w:jc w:val="both"/>
        <w:rPr>
          <w:rFonts w:ascii="Times New Roman" w:eastAsia="Times New Roman" w:hAnsi="Times New Roman" w:cs="Times New Roman"/>
          <w:b/>
          <w:bCs/>
          <w:sz w:val="28"/>
          <w:szCs w:val="28"/>
        </w:rPr>
      </w:pPr>
    </w:p>
    <w:p w14:paraId="33EAFF59"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5952C648" w14:textId="77777777" w:rsidR="00B75FCA" w:rsidRDefault="00B75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633"/>
        <w:jc w:val="both"/>
        <w:rPr>
          <w:rFonts w:ascii="Times New Roman" w:eastAsia="Times New Roman" w:hAnsi="Times New Roman" w:cs="Times New Roman"/>
          <w:b/>
          <w:bCs/>
          <w:sz w:val="28"/>
          <w:szCs w:val="28"/>
        </w:rPr>
      </w:pPr>
      <w:bookmarkStart w:id="0" w:name="_heading=h.gjdgxs" w:colFirst="0" w:colLast="0"/>
      <w:bookmarkEnd w:id="0"/>
    </w:p>
    <w:sectPr w:rsidR="00B75FCA">
      <w:headerReference w:type="even" r:id="rId18"/>
      <w:headerReference w:type="default" r:id="rId19"/>
      <w:footerReference w:type="even" r:id="rId20"/>
      <w:footerReference w:type="default" r:id="rId21"/>
      <w:headerReference w:type="first" r:id="rId22"/>
      <w:footerReference w:type="first" r:id="rId23"/>
      <w:pgSz w:w="12240" w:h="15840"/>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3CF73" w14:textId="77777777" w:rsidR="00322DB2" w:rsidRDefault="00322DB2">
      <w:pPr>
        <w:spacing w:after="0" w:line="240" w:lineRule="auto"/>
      </w:pPr>
      <w:r>
        <w:separator/>
      </w:r>
    </w:p>
  </w:endnote>
  <w:endnote w:type="continuationSeparator" w:id="0">
    <w:p w14:paraId="5984F1AC" w14:textId="77777777" w:rsidR="00322DB2" w:rsidRDefault="00322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1B93B3-BBB6-441B-A328-7226C8E7D6C8}"/>
    <w:embedBold r:id="rId2" w:fontKey="{0D04A5EE-FB71-435D-94E5-A19C21A1C7F7}"/>
    <w:embedItalic r:id="rId3" w:fontKey="{F6905FF0-A25F-4D3A-B0A7-CB382572978E}"/>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293612E-6DC0-4184-8BBC-16F49E323585}"/>
  </w:font>
  <w:font w:name="Georgia">
    <w:panose1 w:val="02040502050405020303"/>
    <w:charset w:val="00"/>
    <w:family w:val="roman"/>
    <w:pitch w:val="variable"/>
    <w:sig w:usb0="00000287" w:usb1="00000000" w:usb2="00000000" w:usb3="00000000" w:csb0="0000009F" w:csb1="00000000"/>
    <w:embedItalic r:id="rId5" w:fontKey="{C2665C3C-7EF2-4FD7-9A2F-DA37AC893EFA}"/>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6D840A9C-6D13-404C-A6A2-66907030F63D}"/>
  </w:font>
  <w:font w:name="Angsana New">
    <w:panose1 w:val="02020603050405020304"/>
    <w:charset w:val="00"/>
    <w:family w:val="roman"/>
    <w:pitch w:val="variable"/>
    <w:sig w:usb0="81000003" w:usb1="00000000" w:usb2="00000000" w:usb3="00000000" w:csb0="00010001" w:csb1="00000000"/>
    <w:embedRegular r:id="rId7" w:fontKey="{F0597FA2-8C0A-4F3B-8BA8-7C7A7D23A8FE}"/>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embedRegular r:id="rId8" w:fontKey="{C593B5F7-3B12-4EA5-A0A8-06BF346442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3E5E" w14:textId="77777777" w:rsidR="00B75FCA" w:rsidRDefault="00C359ED">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260E4">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(First Author)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8942" w14:textId="359C9B83" w:rsidR="00B75FCA" w:rsidRDefault="00C359E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260E4">
      <w:rPr>
        <w:noProof/>
        <w:color w:val="000000"/>
      </w:rPr>
      <w:t>3</w:t>
    </w:r>
    <w:r>
      <w:rPr>
        <w:color w:val="000000"/>
      </w:rPr>
      <w:fldChar w:fldCharType="end"/>
    </w:r>
    <w:r>
      <w:rPr>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(First Author)</w:t>
    </w:r>
  </w:p>
  <w:p w14:paraId="19AB703C" w14:textId="77777777" w:rsidR="00B75FCA" w:rsidRDefault="00B75FCA">
    <w:pPr>
      <w:pBdr>
        <w:top w:val="single" w:sz="4" w:space="1" w:color="D9D9D9"/>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0E2B3" w14:textId="77777777" w:rsidR="00B75FCA" w:rsidRDefault="00C359E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260E4">
      <w:rPr>
        <w:noProof/>
        <w:color w:val="000000"/>
      </w:rPr>
      <w:t>1</w:t>
    </w:r>
    <w:r>
      <w:rPr>
        <w:color w:val="000000"/>
      </w:rPr>
      <w:fldChar w:fldCharType="end"/>
    </w:r>
    <w:r>
      <w:rPr>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(First Author)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88F95" w14:textId="77777777" w:rsidR="00322DB2" w:rsidRDefault="00322DB2">
      <w:pPr>
        <w:spacing w:after="0" w:line="240" w:lineRule="auto"/>
      </w:pPr>
      <w:r>
        <w:separator/>
      </w:r>
    </w:p>
  </w:footnote>
  <w:footnote w:type="continuationSeparator" w:id="0">
    <w:p w14:paraId="0D775233" w14:textId="77777777" w:rsidR="00322DB2" w:rsidRDefault="00322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48CA1" w14:textId="77777777" w:rsidR="00B75FCA" w:rsidRDefault="00C359ED">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Times New Roman" w:eastAsia="Times New Roman" w:hAnsi="Times New Roman" w:cs="Times New Roman"/>
        <w:i/>
        <w:iCs/>
        <w:color w:val="000000"/>
      </w:rPr>
    </w:pPr>
    <w:r>
      <w:rPr>
        <w:color w:val="000000"/>
      </w:rPr>
      <w:t xml:space="preserve"> </w:t>
    </w:r>
    <w:r>
      <w:rPr>
        <w:color w:val="000000"/>
      </w:rPr>
      <w:tab/>
      <w:t xml:space="preserve"> </w:t>
    </w:r>
    <w:r>
      <w:rPr>
        <w:color w:val="000000"/>
      </w:rPr>
      <w:tab/>
    </w:r>
    <w:r>
      <w:rPr>
        <w:color w:val="000000"/>
      </w:rPr>
      <w:tab/>
    </w:r>
    <w:r>
      <w:rPr>
        <w:color w:val="000000"/>
      </w:rPr>
      <w:tab/>
      <w:t xml:space="preserve">                    </w:t>
    </w:r>
    <w:r>
      <w:rPr>
        <w:rFonts w:ascii="Times New Roman" w:eastAsia="Times New Roman" w:hAnsi="Times New Roman" w:cs="Times New Roman"/>
        <w:b/>
        <w:bCs/>
        <w:i/>
        <w:iCs/>
        <w:color w:val="333333"/>
        <w:highlight w:val="white"/>
      </w:rPr>
      <w:t>E-ISSN:</w:t>
    </w:r>
    <w:r>
      <w:rPr>
        <w:rFonts w:ascii="Times New Roman" w:eastAsia="Times New Roman" w:hAnsi="Times New Roman" w:cs="Times New Roman"/>
        <w:i/>
        <w:iCs/>
        <w:color w:val="333333"/>
        <w:highlight w:val="white"/>
      </w:rPr>
      <w:t> 2828-7606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8BE1" w14:textId="77777777" w:rsidR="00B75FCA" w:rsidRDefault="00C359ED">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r>
      <w:rPr>
        <w:rFonts w:ascii="Times New Roman" w:eastAsia="Times New Roman" w:hAnsi="Times New Roman" w:cs="Times New Roman"/>
        <w:b/>
        <w:bCs/>
        <w:i/>
        <w:iCs/>
        <w:color w:val="333333"/>
        <w:highlight w:val="white"/>
      </w:rPr>
      <w:t>E-ISSN:</w:t>
    </w:r>
    <w:r>
      <w:rPr>
        <w:rFonts w:ascii="Times New Roman" w:eastAsia="Times New Roman" w:hAnsi="Times New Roman" w:cs="Times New Roman"/>
        <w:i/>
        <w:iCs/>
        <w:color w:val="333333"/>
        <w:highlight w:val="white"/>
      </w:rPr>
      <w:t> 2828-7606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FB15" w14:textId="77777777" w:rsidR="00B75FCA" w:rsidRDefault="00C359ED">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b/>
        <w:bCs/>
        <w:color w:val="000000"/>
        <w:sz w:val="24"/>
        <w:szCs w:val="24"/>
      </w:rPr>
    </w:pPr>
    <w:hyperlink r:id="rId1">
      <w:r>
        <w:rPr>
          <w:rFonts w:ascii="Times New Roman" w:eastAsia="Times New Roman" w:hAnsi="Times New Roman" w:cs="Times New Roman"/>
          <w:b/>
          <w:bCs/>
          <w:color w:val="000000"/>
          <w:sz w:val="24"/>
          <w:szCs w:val="24"/>
        </w:rPr>
        <w:t>Business Management</w:t>
      </w:r>
    </w:hyperlink>
  </w:p>
  <w:p w14:paraId="410F5F65" w14:textId="77777777" w:rsidR="00B75FCA" w:rsidRDefault="00C359ED">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color w:val="000000"/>
      </w:rPr>
    </w:pPr>
    <w:r>
      <w:rPr>
        <w:rFonts w:ascii="Times New Roman" w:eastAsia="Times New Roman" w:hAnsi="Times New Roman" w:cs="Times New Roman"/>
        <w:color w:val="000000"/>
      </w:rPr>
      <w:t xml:space="preserve">Vol. x, No. x, </w:t>
    </w:r>
    <w:proofErr w:type="gramStart"/>
    <w:r>
      <w:rPr>
        <w:rFonts w:ascii="Times New Roman" w:eastAsia="Times New Roman" w:hAnsi="Times New Roman" w:cs="Times New Roman"/>
        <w:color w:val="000000"/>
      </w:rPr>
      <w:t xml:space="preserve">Bulan  </w:t>
    </w:r>
    <w:proofErr w:type="spellStart"/>
    <w:r>
      <w:rPr>
        <w:rFonts w:ascii="Times New Roman" w:eastAsia="Times New Roman" w:hAnsi="Times New Roman" w:cs="Times New Roman"/>
        <w:color w:val="000000"/>
      </w:rPr>
      <w:t>Tahun</w:t>
    </w:r>
    <w:proofErr w:type="spellEnd"/>
    <w:proofErr w:type="gramEnd"/>
  </w:p>
  <w:p w14:paraId="05CB8ED2" w14:textId="77777777" w:rsidR="00B75FCA" w:rsidRDefault="00C359ED">
    <w:pPr>
      <w:spacing w:after="0"/>
      <w:jc w:val="both"/>
      <w:rPr>
        <w:rFonts w:ascii="Times New Roman" w:eastAsia="Times New Roman" w:hAnsi="Times New Roman" w:cs="Times New Roman"/>
        <w:i/>
        <w:iCs/>
      </w:rPr>
    </w:pPr>
    <w:r>
      <w:rPr>
        <w:rFonts w:ascii="Times New Roman" w:eastAsia="Times New Roman" w:hAnsi="Times New Roman" w:cs="Times New Roman"/>
        <w:b/>
        <w:bCs/>
        <w:i/>
        <w:iCs/>
        <w:color w:val="333333"/>
        <w:highlight w:val="white"/>
      </w:rPr>
      <w:t>P-ISSN:</w:t>
    </w:r>
    <w:r>
      <w:rPr>
        <w:rFonts w:ascii="Times New Roman" w:eastAsia="Times New Roman" w:hAnsi="Times New Roman" w:cs="Times New Roman"/>
        <w:i/>
        <w:iCs/>
        <w:color w:val="333333"/>
        <w:highlight w:val="white"/>
      </w:rPr>
      <w:t xml:space="preserve"> 2828-8203, </w:t>
    </w:r>
    <w:r>
      <w:rPr>
        <w:rFonts w:ascii="Times New Roman" w:eastAsia="Times New Roman" w:hAnsi="Times New Roman" w:cs="Times New Roman"/>
        <w:b/>
        <w:bCs/>
        <w:i/>
        <w:iCs/>
        <w:color w:val="333333"/>
        <w:highlight w:val="white"/>
      </w:rPr>
      <w:t>E-ISSN:</w:t>
    </w:r>
    <w:r>
      <w:rPr>
        <w:rFonts w:ascii="Times New Roman" w:eastAsia="Times New Roman" w:hAnsi="Times New Roman" w:cs="Times New Roman"/>
        <w:i/>
        <w:iCs/>
        <w:color w:val="333333"/>
        <w:highlight w:val="white"/>
      </w:rPr>
      <w:t> 2828-7606</w:t>
    </w:r>
  </w:p>
  <w:p w14:paraId="6D32BBB1" w14:textId="77777777" w:rsidR="00B75FCA" w:rsidRDefault="00C359ED">
    <w:pPr>
      <w:pBdr>
        <w:top w:val="nil"/>
        <w:left w:val="nil"/>
        <w:bottom w:val="nil"/>
        <w:right w:val="nil"/>
        <w:between w:val="nil"/>
      </w:pBdr>
      <w:tabs>
        <w:tab w:val="center" w:pos="4680"/>
        <w:tab w:val="right" w:pos="9360"/>
      </w:tabs>
      <w:spacing w:after="0" w:line="240" w:lineRule="auto"/>
      <w:rPr>
        <w:color w:val="000000"/>
        <w:sz w:val="28"/>
        <w:szCs w:val="28"/>
      </w:rPr>
    </w:pPr>
    <w:r>
      <w:rPr>
        <w:rFonts w:ascii="Times New Roman" w:eastAsia="Times New Roman" w:hAnsi="Times New Roman" w:cs="Times New Roman"/>
        <w:color w:val="000000"/>
      </w:rPr>
      <w:t xml:space="preserve">Link: </w:t>
    </w:r>
    <w:hyperlink r:id="rId2">
      <w:r>
        <w:rPr>
          <w:rFonts w:ascii="Times New Roman" w:eastAsia="Times New Roman" w:hAnsi="Times New Roman" w:cs="Times New Roman"/>
          <w:i/>
          <w:iCs/>
          <w:color w:val="0000FF"/>
          <w:u w:val="single"/>
        </w:rPr>
        <w:t>https://ejournal.mandalanursa.org/index.php/Bisnis/user</w:t>
      </w:r>
    </w:hyperlink>
    <w:r>
      <w:rPr>
        <w:rFonts w:ascii="Times New Roman" w:eastAsia="Times New Roman" w:hAnsi="Times New Roman" w:cs="Times New Roman"/>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821BE"/>
    <w:multiLevelType w:val="hybridMultilevel"/>
    <w:tmpl w:val="7DACAE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08D5E63"/>
    <w:multiLevelType w:val="hybridMultilevel"/>
    <w:tmpl w:val="7AD25050"/>
    <w:lvl w:ilvl="0" w:tplc="DCA2D17E">
      <w:start w:val="1"/>
      <w:numFmt w:val="decimal"/>
      <w:lvlText w:val="%1."/>
      <w:lvlJc w:val="left"/>
      <w:pPr>
        <w:ind w:left="640" w:hanging="360"/>
      </w:pPr>
      <w:rPr>
        <w:rFonts w:hint="default"/>
      </w:rPr>
    </w:lvl>
    <w:lvl w:ilvl="1" w:tplc="38090019" w:tentative="1">
      <w:start w:val="1"/>
      <w:numFmt w:val="lowerLetter"/>
      <w:lvlText w:val="%2."/>
      <w:lvlJc w:val="left"/>
      <w:pPr>
        <w:ind w:left="1360" w:hanging="360"/>
      </w:pPr>
    </w:lvl>
    <w:lvl w:ilvl="2" w:tplc="3809001B" w:tentative="1">
      <w:start w:val="1"/>
      <w:numFmt w:val="lowerRoman"/>
      <w:lvlText w:val="%3."/>
      <w:lvlJc w:val="right"/>
      <w:pPr>
        <w:ind w:left="2080" w:hanging="180"/>
      </w:pPr>
    </w:lvl>
    <w:lvl w:ilvl="3" w:tplc="3809000F" w:tentative="1">
      <w:start w:val="1"/>
      <w:numFmt w:val="decimal"/>
      <w:lvlText w:val="%4."/>
      <w:lvlJc w:val="left"/>
      <w:pPr>
        <w:ind w:left="2800" w:hanging="360"/>
      </w:pPr>
    </w:lvl>
    <w:lvl w:ilvl="4" w:tplc="38090019" w:tentative="1">
      <w:start w:val="1"/>
      <w:numFmt w:val="lowerLetter"/>
      <w:lvlText w:val="%5."/>
      <w:lvlJc w:val="left"/>
      <w:pPr>
        <w:ind w:left="3520" w:hanging="360"/>
      </w:pPr>
    </w:lvl>
    <w:lvl w:ilvl="5" w:tplc="3809001B" w:tentative="1">
      <w:start w:val="1"/>
      <w:numFmt w:val="lowerRoman"/>
      <w:lvlText w:val="%6."/>
      <w:lvlJc w:val="right"/>
      <w:pPr>
        <w:ind w:left="4240" w:hanging="180"/>
      </w:pPr>
    </w:lvl>
    <w:lvl w:ilvl="6" w:tplc="3809000F" w:tentative="1">
      <w:start w:val="1"/>
      <w:numFmt w:val="decimal"/>
      <w:lvlText w:val="%7."/>
      <w:lvlJc w:val="left"/>
      <w:pPr>
        <w:ind w:left="4960" w:hanging="360"/>
      </w:pPr>
    </w:lvl>
    <w:lvl w:ilvl="7" w:tplc="38090019" w:tentative="1">
      <w:start w:val="1"/>
      <w:numFmt w:val="lowerLetter"/>
      <w:lvlText w:val="%8."/>
      <w:lvlJc w:val="left"/>
      <w:pPr>
        <w:ind w:left="5680" w:hanging="360"/>
      </w:pPr>
    </w:lvl>
    <w:lvl w:ilvl="8" w:tplc="3809001B" w:tentative="1">
      <w:start w:val="1"/>
      <w:numFmt w:val="lowerRoman"/>
      <w:lvlText w:val="%9."/>
      <w:lvlJc w:val="right"/>
      <w:pPr>
        <w:ind w:left="6400" w:hanging="180"/>
      </w:pPr>
    </w:lvl>
  </w:abstractNum>
  <w:num w:numId="1" w16cid:durableId="1904024029">
    <w:abstractNumId w:val="1"/>
  </w:num>
  <w:num w:numId="2" w16cid:durableId="67503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FCA"/>
    <w:rsid w:val="00173A3B"/>
    <w:rsid w:val="0017578E"/>
    <w:rsid w:val="00257968"/>
    <w:rsid w:val="00301B18"/>
    <w:rsid w:val="00317403"/>
    <w:rsid w:val="00322DB2"/>
    <w:rsid w:val="003F4559"/>
    <w:rsid w:val="00422633"/>
    <w:rsid w:val="00444A2C"/>
    <w:rsid w:val="00456471"/>
    <w:rsid w:val="00471FEE"/>
    <w:rsid w:val="006834A6"/>
    <w:rsid w:val="008C4588"/>
    <w:rsid w:val="00A260E4"/>
    <w:rsid w:val="00AA3A6D"/>
    <w:rsid w:val="00B60412"/>
    <w:rsid w:val="00B75FCA"/>
    <w:rsid w:val="00C359ED"/>
    <w:rsid w:val="00CD40A2"/>
    <w:rsid w:val="00E26B7D"/>
    <w:rsid w:val="00E60032"/>
    <w:rsid w:val="00F341BB"/>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E1F1F"/>
  <w15:docId w15:val="{674E3600-F3D1-4E86-9EBB-FC8CA1D1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TMLPreformatted">
    <w:name w:val="HTML Preformatted"/>
    <w:basedOn w:val="Normal"/>
    <w:link w:val="HTMLPreformattedChar"/>
    <w:uiPriority w:val="99"/>
    <w:unhideWhenUsed/>
    <w:rsid w:val="00CF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4D8"/>
    <w:rPr>
      <w:rFonts w:ascii="Courier New" w:eastAsia="Times New Roman" w:hAnsi="Courier New" w:cs="Courier New"/>
      <w:sz w:val="20"/>
      <w:szCs w:val="20"/>
    </w:rPr>
  </w:style>
  <w:style w:type="character" w:customStyle="1" w:styleId="y2iqfc">
    <w:name w:val="y2iqfc"/>
    <w:basedOn w:val="DefaultParagraphFont"/>
    <w:rsid w:val="00CF64D8"/>
  </w:style>
  <w:style w:type="paragraph" w:styleId="Header">
    <w:name w:val="header"/>
    <w:basedOn w:val="Normal"/>
    <w:link w:val="HeaderChar"/>
    <w:uiPriority w:val="99"/>
    <w:unhideWhenUsed/>
    <w:rsid w:val="00CF6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D8"/>
  </w:style>
  <w:style w:type="paragraph" w:styleId="Footer">
    <w:name w:val="footer"/>
    <w:basedOn w:val="Normal"/>
    <w:link w:val="FooterChar"/>
    <w:uiPriority w:val="99"/>
    <w:unhideWhenUsed/>
    <w:rsid w:val="00CF6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D8"/>
  </w:style>
  <w:style w:type="character" w:styleId="PageNumber">
    <w:name w:val="page number"/>
    <w:basedOn w:val="DefaultParagraphFont"/>
    <w:rsid w:val="00CF64D8"/>
  </w:style>
  <w:style w:type="character" w:styleId="Hyperlink">
    <w:name w:val="Hyperlink"/>
    <w:basedOn w:val="DefaultParagraphFont"/>
    <w:uiPriority w:val="99"/>
    <w:unhideWhenUsed/>
    <w:rsid w:val="00CF64D8"/>
    <w:rPr>
      <w:color w:val="0000FF"/>
      <w:u w:val="single"/>
    </w:rPr>
  </w:style>
  <w:style w:type="character" w:styleId="UnresolvedMention">
    <w:name w:val="Unresolved Mention"/>
    <w:basedOn w:val="DefaultParagraphFont"/>
    <w:uiPriority w:val="99"/>
    <w:semiHidden/>
    <w:unhideWhenUsed/>
    <w:rsid w:val="00CF64D8"/>
    <w:rPr>
      <w:color w:val="605E5C"/>
      <w:shd w:val="clear" w:color="auto" w:fill="E1DFDD"/>
    </w:rPr>
  </w:style>
  <w:style w:type="table" w:styleId="TableGrid">
    <w:name w:val="Table Grid"/>
    <w:basedOn w:val="TableNormal"/>
    <w:uiPriority w:val="39"/>
    <w:rsid w:val="00CF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7"/>
    <w:rPr>
      <w:rFonts w:ascii="Segoe UI" w:hAnsi="Segoe UI" w:cs="Segoe UI"/>
      <w:sz w:val="18"/>
      <w:szCs w:val="18"/>
    </w:rPr>
  </w:style>
  <w:style w:type="character" w:styleId="FollowedHyperlink">
    <w:name w:val="FollowedHyperlink"/>
    <w:basedOn w:val="DefaultParagraphFont"/>
    <w:uiPriority w:val="99"/>
    <w:semiHidden/>
    <w:unhideWhenUsed/>
    <w:rsid w:val="00D64737"/>
    <w:rPr>
      <w:color w:val="954F72" w:themeColor="followedHyperlink"/>
      <w:u w:val="single"/>
    </w:rPr>
  </w:style>
  <w:style w:type="paragraph" w:styleId="ListParagraph">
    <w:name w:val="List Paragraph"/>
    <w:basedOn w:val="Normal"/>
    <w:uiPriority w:val="34"/>
    <w:qFormat/>
    <w:rsid w:val="00C906F8"/>
    <w:pPr>
      <w:ind w:left="720"/>
      <w:contextualSpacing/>
    </w:pPr>
  </w:style>
  <w:style w:type="character" w:customStyle="1" w:styleId="Heading4Char">
    <w:name w:val="Heading 4 Char"/>
    <w:basedOn w:val="DefaultParagraphFont"/>
    <w:link w:val="Heading4"/>
    <w:uiPriority w:val="9"/>
    <w:rsid w:val="0080696A"/>
    <w:rPr>
      <w:rFonts w:ascii="Times New Roman" w:eastAsia="Times New Roman" w:hAnsi="Times New Roman" w:cs="Times New Roman"/>
      <w:b/>
      <w:bCs/>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contoh@gmail.com"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hyperlink" Target="http://creativecommons.org/licenses/by-sa/4.0/"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creativecommons.org/licenses/by-sa/4.0/" TargetMode="External"/><Relationship Id="rId14" Type="http://schemas.openxmlformats.org/officeDocument/2006/relationships/image" Target="media/image3.emf"/><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s://ejournal.mandalanursa.org/index.php/Bisnis/user" TargetMode="External"/><Relationship Id="rId1" Type="http://schemas.openxmlformats.org/officeDocument/2006/relationships/hyperlink" Target="https://ejournal.mandalanursa.org/index.php/Bisnis/u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yg2ho/AAv8SLN5LXSDlIdAEA==">CgMxLjAyCGguZ2pkZ3hzMghoLmdqZGd4czIIaC5namRneHMyCGguZ2pkZ3hzOAByITFGal9XY2dRYUhQejNITy1SekRvTWlRNzlraDFZUDNPNQ==</go:docsCustomData>
</go:gDocsCustomXmlDataStorage>
</file>

<file path=customXml/itemProps1.xml><?xml version="1.0" encoding="utf-8"?>
<ds:datastoreItem xmlns:ds="http://schemas.openxmlformats.org/officeDocument/2006/customXml" ds:itemID="{9187BD22-3EEB-49A7-8944-573F894CDA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15485</Words>
  <Characters>88267</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nni.antika@gmail.com</dc:creator>
  <cp:lastModifiedBy>Sofian Sofian</cp:lastModifiedBy>
  <cp:revision>4</cp:revision>
  <dcterms:created xsi:type="dcterms:W3CDTF">2026-05-01T05:37:00Z</dcterms:created>
  <dcterms:modified xsi:type="dcterms:W3CDTF">2026-05-01T05:45:00Z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APSA Style Manual revised 2018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ASA Style Guide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18th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(author-date/Harvard)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d3d6d2a3-06b2-359e-9d73-ba16250ce685</vt:lpwstr>
  </property>
  <property fmtid="{D5CDD505-2E9C-101B-9397-08002B2CF9AE}" pid="24" name="Mendeley Citation Style_1">
    <vt:lpwstr>http://www.zotero.org/styles/harvard1</vt:lpwstr>
  </property>
</Properties>
</file>