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CE2A" w14:textId="77777777" w:rsidR="00F232DA" w:rsidRDefault="00F2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6BE12B5F" w14:textId="77777777" w:rsidR="002D0621" w:rsidRPr="002D0621" w:rsidRDefault="002D0621" w:rsidP="002D0621">
      <w:pPr>
        <w:pStyle w:val="NormalWeb"/>
        <w:spacing w:before="0" w:beforeAutospacing="0" w:after="0" w:afterAutospacing="0"/>
        <w:jc w:val="center"/>
        <w:rPr>
          <w:b/>
          <w:bCs/>
          <w:color w:val="000000"/>
          <w:sz w:val="28"/>
          <w:szCs w:val="28"/>
        </w:rPr>
      </w:pPr>
      <w:proofErr w:type="spellStart"/>
      <w:r w:rsidRPr="002D0621">
        <w:rPr>
          <w:b/>
          <w:bCs/>
          <w:color w:val="000000"/>
          <w:sz w:val="28"/>
          <w:szCs w:val="28"/>
        </w:rPr>
        <w:t>Dialektika</w:t>
      </w:r>
      <w:proofErr w:type="spellEnd"/>
      <w:r w:rsidRPr="002D0621">
        <w:rPr>
          <w:b/>
          <w:bCs/>
          <w:color w:val="000000"/>
          <w:sz w:val="28"/>
          <w:szCs w:val="28"/>
        </w:rPr>
        <w:t xml:space="preserve"> Hukum </w:t>
      </w:r>
      <w:proofErr w:type="spellStart"/>
      <w:r w:rsidRPr="002D0621">
        <w:rPr>
          <w:b/>
          <w:bCs/>
          <w:color w:val="000000"/>
          <w:sz w:val="28"/>
          <w:szCs w:val="28"/>
        </w:rPr>
        <w:t>dalam</w:t>
      </w:r>
      <w:proofErr w:type="spellEnd"/>
      <w:r w:rsidRPr="002D0621">
        <w:rPr>
          <w:b/>
          <w:bCs/>
          <w:color w:val="000000"/>
          <w:sz w:val="28"/>
          <w:szCs w:val="28"/>
        </w:rPr>
        <w:t xml:space="preserve"> </w:t>
      </w:r>
      <w:proofErr w:type="spellStart"/>
      <w:r w:rsidRPr="002D0621">
        <w:rPr>
          <w:b/>
          <w:bCs/>
          <w:color w:val="000000"/>
          <w:sz w:val="28"/>
          <w:szCs w:val="28"/>
        </w:rPr>
        <w:t>Pembekuan</w:t>
      </w:r>
      <w:proofErr w:type="spellEnd"/>
      <w:r w:rsidRPr="002D0621">
        <w:rPr>
          <w:b/>
          <w:bCs/>
          <w:color w:val="000000"/>
          <w:sz w:val="28"/>
          <w:szCs w:val="28"/>
        </w:rPr>
        <w:t xml:space="preserve"> Berita Acara </w:t>
      </w:r>
      <w:proofErr w:type="spellStart"/>
      <w:r w:rsidRPr="002D0621">
        <w:rPr>
          <w:b/>
          <w:bCs/>
          <w:color w:val="000000"/>
          <w:sz w:val="28"/>
          <w:szCs w:val="28"/>
        </w:rPr>
        <w:t>Sumpah</w:t>
      </w:r>
      <w:proofErr w:type="spellEnd"/>
      <w:r w:rsidRPr="002D0621">
        <w:rPr>
          <w:b/>
          <w:bCs/>
          <w:color w:val="000000"/>
          <w:sz w:val="28"/>
          <w:szCs w:val="28"/>
        </w:rPr>
        <w:t xml:space="preserve"> </w:t>
      </w:r>
      <w:proofErr w:type="spellStart"/>
      <w:r w:rsidRPr="002D0621">
        <w:rPr>
          <w:b/>
          <w:bCs/>
          <w:color w:val="000000"/>
          <w:sz w:val="28"/>
          <w:szCs w:val="28"/>
        </w:rPr>
        <w:t>Advokat</w:t>
      </w:r>
      <w:proofErr w:type="spellEnd"/>
      <w:r w:rsidRPr="002D0621">
        <w:rPr>
          <w:b/>
          <w:bCs/>
          <w:color w:val="000000"/>
          <w:sz w:val="28"/>
          <w:szCs w:val="28"/>
        </w:rPr>
        <w:t xml:space="preserve">: </w:t>
      </w:r>
      <w:proofErr w:type="spellStart"/>
      <w:r w:rsidRPr="002D0621">
        <w:rPr>
          <w:b/>
          <w:bCs/>
          <w:color w:val="000000"/>
          <w:sz w:val="28"/>
          <w:szCs w:val="28"/>
        </w:rPr>
        <w:t>Independensi</w:t>
      </w:r>
      <w:proofErr w:type="spellEnd"/>
      <w:r w:rsidRPr="002D0621">
        <w:rPr>
          <w:b/>
          <w:bCs/>
          <w:color w:val="000000"/>
          <w:sz w:val="28"/>
          <w:szCs w:val="28"/>
        </w:rPr>
        <w:t xml:space="preserve"> </w:t>
      </w:r>
      <w:proofErr w:type="spellStart"/>
      <w:r w:rsidRPr="002D0621">
        <w:rPr>
          <w:b/>
          <w:bCs/>
          <w:color w:val="000000"/>
          <w:sz w:val="28"/>
          <w:szCs w:val="28"/>
        </w:rPr>
        <w:t>Profesi</w:t>
      </w:r>
      <w:proofErr w:type="spellEnd"/>
      <w:r w:rsidRPr="002D0621">
        <w:rPr>
          <w:b/>
          <w:bCs/>
          <w:color w:val="000000"/>
          <w:sz w:val="28"/>
          <w:szCs w:val="28"/>
        </w:rPr>
        <w:t xml:space="preserve">, </w:t>
      </w:r>
      <w:proofErr w:type="spellStart"/>
      <w:r w:rsidRPr="002D0621">
        <w:rPr>
          <w:b/>
          <w:bCs/>
          <w:color w:val="000000"/>
          <w:sz w:val="28"/>
          <w:szCs w:val="28"/>
        </w:rPr>
        <w:t>Kontestasi</w:t>
      </w:r>
      <w:proofErr w:type="spellEnd"/>
      <w:r w:rsidRPr="002D0621">
        <w:rPr>
          <w:b/>
          <w:bCs/>
          <w:color w:val="000000"/>
          <w:sz w:val="28"/>
          <w:szCs w:val="28"/>
        </w:rPr>
        <w:t xml:space="preserve"> </w:t>
      </w:r>
      <w:proofErr w:type="spellStart"/>
      <w:r w:rsidRPr="002D0621">
        <w:rPr>
          <w:b/>
          <w:bCs/>
          <w:color w:val="000000"/>
          <w:sz w:val="28"/>
          <w:szCs w:val="28"/>
        </w:rPr>
        <w:t>Yudisial</w:t>
      </w:r>
      <w:proofErr w:type="spellEnd"/>
      <w:r w:rsidRPr="002D0621">
        <w:rPr>
          <w:b/>
          <w:bCs/>
          <w:color w:val="000000"/>
          <w:sz w:val="28"/>
          <w:szCs w:val="28"/>
        </w:rPr>
        <w:t xml:space="preserve">, dan Bayang-Bayang </w:t>
      </w:r>
      <w:r w:rsidRPr="002D0621">
        <w:rPr>
          <w:b/>
          <w:bCs/>
          <w:i/>
          <w:iCs/>
          <w:color w:val="000000"/>
          <w:sz w:val="28"/>
          <w:szCs w:val="28"/>
        </w:rPr>
        <w:t>Contempt of Court</w:t>
      </w:r>
    </w:p>
    <w:p w14:paraId="1960C5DA" w14:textId="77777777" w:rsidR="00F232DA" w:rsidRDefault="00F232DA" w:rsidP="002D0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rPr>
      </w:pPr>
    </w:p>
    <w:p w14:paraId="7D9E2D27" w14:textId="77777777" w:rsidR="002D0621" w:rsidRPr="00993EEC" w:rsidRDefault="002D0621" w:rsidP="002D0621">
      <w:pPr>
        <w:pStyle w:val="NormalWeb"/>
        <w:spacing w:before="0" w:beforeAutospacing="0" w:after="0" w:afterAutospacing="0"/>
        <w:jc w:val="center"/>
        <w:rPr>
          <w:rFonts w:eastAsia="Book Antiqua"/>
          <w:b/>
          <w:color w:val="000000"/>
        </w:rPr>
      </w:pPr>
      <w:bookmarkStart w:id="0" w:name="_Hlk190454871"/>
      <w:r w:rsidRPr="00993EEC">
        <w:rPr>
          <w:rFonts w:eastAsia="Book Antiqua"/>
          <w:b/>
          <w:color w:val="000000"/>
        </w:rPr>
        <w:t>Ludfi</w:t>
      </w:r>
    </w:p>
    <w:p w14:paraId="38373F3C" w14:textId="77777777" w:rsidR="002D0621" w:rsidRPr="00993EEC" w:rsidRDefault="002D0621" w:rsidP="002D0621">
      <w:pPr>
        <w:spacing w:line="240" w:lineRule="auto"/>
        <w:jc w:val="center"/>
        <w:rPr>
          <w:rFonts w:ascii="Times New Roman" w:hAnsi="Times New Roman" w:cs="Times New Roman"/>
          <w:sz w:val="24"/>
          <w:szCs w:val="24"/>
        </w:rPr>
      </w:pPr>
      <w:proofErr w:type="spellStart"/>
      <w:r w:rsidRPr="00993EEC">
        <w:rPr>
          <w:rFonts w:ascii="Times New Roman" w:hAnsi="Times New Roman" w:cs="Times New Roman"/>
          <w:sz w:val="24"/>
          <w:szCs w:val="24"/>
        </w:rPr>
        <w:t>Sekolah</w:t>
      </w:r>
      <w:proofErr w:type="spellEnd"/>
      <w:r w:rsidRPr="00993EEC">
        <w:rPr>
          <w:rFonts w:ascii="Times New Roman" w:hAnsi="Times New Roman" w:cs="Times New Roman"/>
          <w:sz w:val="24"/>
          <w:szCs w:val="24"/>
        </w:rPr>
        <w:t xml:space="preserve"> Tinggi Agama Islam Al </w:t>
      </w:r>
      <w:proofErr w:type="spellStart"/>
      <w:r w:rsidRPr="00993EEC">
        <w:rPr>
          <w:rFonts w:ascii="Times New Roman" w:hAnsi="Times New Roman" w:cs="Times New Roman"/>
          <w:sz w:val="24"/>
          <w:szCs w:val="24"/>
        </w:rPr>
        <w:t>Mujtama</w:t>
      </w:r>
      <w:proofErr w:type="spellEnd"/>
      <w:r w:rsidRPr="00993EEC">
        <w:rPr>
          <w:rFonts w:ascii="Times New Roman" w:hAnsi="Times New Roman" w:cs="Times New Roman"/>
          <w:sz w:val="24"/>
          <w:szCs w:val="24"/>
        </w:rPr>
        <w:t xml:space="preserve"> </w:t>
      </w:r>
      <w:proofErr w:type="spellStart"/>
      <w:r w:rsidRPr="00993EEC">
        <w:rPr>
          <w:rFonts w:ascii="Times New Roman" w:hAnsi="Times New Roman" w:cs="Times New Roman"/>
          <w:sz w:val="24"/>
          <w:szCs w:val="24"/>
        </w:rPr>
        <w:t>Pamekasan</w:t>
      </w:r>
      <w:proofErr w:type="spellEnd"/>
      <w:r w:rsidRPr="00993EEC">
        <w:rPr>
          <w:rFonts w:ascii="Times New Roman" w:hAnsi="Times New Roman" w:cs="Times New Roman"/>
          <w:sz w:val="24"/>
          <w:szCs w:val="24"/>
        </w:rPr>
        <w:t xml:space="preserve"> </w:t>
      </w:r>
    </w:p>
    <w:p w14:paraId="3A81A342" w14:textId="77777777" w:rsidR="002D0621" w:rsidRPr="00993EEC" w:rsidRDefault="002D0621" w:rsidP="002D0621">
      <w:pPr>
        <w:widowControl w:val="0"/>
        <w:pBdr>
          <w:top w:val="nil"/>
          <w:left w:val="nil"/>
          <w:bottom w:val="nil"/>
          <w:right w:val="nil"/>
          <w:between w:val="nil"/>
        </w:pBdr>
        <w:spacing w:line="240" w:lineRule="auto"/>
        <w:jc w:val="center"/>
        <w:rPr>
          <w:rFonts w:ascii="Times New Roman" w:eastAsia="Book Antiqua" w:hAnsi="Times New Roman" w:cs="Times New Roman"/>
          <w:i/>
          <w:color w:val="0000FF"/>
          <w:sz w:val="24"/>
          <w:szCs w:val="24"/>
          <w:u w:val="single"/>
        </w:rPr>
      </w:pPr>
      <w:r w:rsidRPr="00993EEC">
        <w:rPr>
          <w:rFonts w:ascii="Times New Roman" w:eastAsia="Book Antiqua" w:hAnsi="Times New Roman" w:cs="Times New Roman"/>
          <w:color w:val="000000"/>
          <w:sz w:val="24"/>
          <w:szCs w:val="24"/>
        </w:rPr>
        <w:t xml:space="preserve">Email: </w:t>
      </w:r>
      <w:hyperlink r:id="rId9" w:history="1">
        <w:r w:rsidRPr="00993EEC">
          <w:rPr>
            <w:rStyle w:val="Hyperlink"/>
            <w:rFonts w:ascii="Times New Roman" w:eastAsia="Book Antiqua" w:hAnsi="Times New Roman" w:cs="Times New Roman"/>
            <w:i/>
            <w:iCs/>
            <w:sz w:val="24"/>
            <w:szCs w:val="24"/>
          </w:rPr>
          <w:t>ludfidhofir99@stai-almujtama.ac.id</w:t>
        </w:r>
      </w:hyperlink>
      <w:r w:rsidRPr="00993EEC">
        <w:rPr>
          <w:rFonts w:ascii="Times New Roman" w:eastAsia="Book Antiqua" w:hAnsi="Times New Roman" w:cs="Times New Roman"/>
          <w:i/>
          <w:iCs/>
          <w:color w:val="000000"/>
          <w:sz w:val="24"/>
          <w:szCs w:val="24"/>
        </w:rPr>
        <w:t xml:space="preserve">   </w:t>
      </w:r>
    </w:p>
    <w:bookmarkEnd w:id="0"/>
    <w:p w14:paraId="13401FDD" w14:textId="77777777" w:rsidR="00F232DA" w:rsidRDefault="00F232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F232DA" w14:paraId="3A90DE36" w14:textId="77777777">
        <w:tc>
          <w:tcPr>
            <w:tcW w:w="2977" w:type="dxa"/>
            <w:tcBorders>
              <w:top w:val="single" w:sz="4" w:space="0" w:color="000000"/>
              <w:left w:val="nil"/>
              <w:bottom w:val="single" w:sz="4" w:space="0" w:color="000000"/>
              <w:right w:val="nil"/>
            </w:tcBorders>
          </w:tcPr>
          <w:p w14:paraId="1E1309F9" w14:textId="77777777" w:rsidR="00F232DA" w:rsidRDefault="00186B88">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5B726122" w14:textId="77777777" w:rsidR="00F232DA" w:rsidRDefault="00F232DA">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4E0540B9" w14:textId="0AD74DD9" w:rsidR="00F232DA" w:rsidRDefault="00186B88">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w:t>
            </w:r>
            <w:r w:rsidR="00264785">
              <w:rPr>
                <w:rFonts w:ascii="Times New Roman" w:eastAsia="Times New Roman" w:hAnsi="Times New Roman" w:cs="Times New Roman"/>
                <w:b/>
                <w:color w:val="000000"/>
                <w:sz w:val="20"/>
                <w:szCs w:val="20"/>
              </w:rPr>
              <w:t>K</w:t>
            </w:r>
          </w:p>
        </w:tc>
      </w:tr>
      <w:tr w:rsidR="00F232DA" w14:paraId="7B11D6EE" w14:textId="77777777">
        <w:trPr>
          <w:trHeight w:val="1268"/>
        </w:trPr>
        <w:tc>
          <w:tcPr>
            <w:tcW w:w="2977" w:type="dxa"/>
            <w:tcBorders>
              <w:top w:val="single" w:sz="4" w:space="0" w:color="000000"/>
              <w:left w:val="nil"/>
              <w:bottom w:val="single" w:sz="4" w:space="0" w:color="000000"/>
              <w:right w:val="nil"/>
            </w:tcBorders>
          </w:tcPr>
          <w:p w14:paraId="62A991C3" w14:textId="77777777" w:rsidR="00F232DA" w:rsidRDefault="00186B88">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E49BF02" w14:textId="77777777" w:rsidR="00F232DA" w:rsidRDefault="00186B8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0E31690D" w14:textId="77777777" w:rsidR="00F232DA" w:rsidRDefault="00186B8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1897C97A" w14:textId="77777777" w:rsidR="00F232DA" w:rsidRDefault="00F232DA">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1219182D" w14:textId="77777777" w:rsidR="00F232DA" w:rsidRDefault="00F232DA">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67C13B6E" w14:textId="74ACC9D6" w:rsidR="00F232DA" w:rsidRPr="00264785" w:rsidRDefault="00264785" w:rsidP="00264785">
            <w:pPr>
              <w:widowControl w:val="0"/>
              <w:pBdr>
                <w:top w:val="nil"/>
                <w:left w:val="nil"/>
                <w:bottom w:val="nil"/>
                <w:right w:val="nil"/>
                <w:between w:val="nil"/>
              </w:pBdr>
              <w:jc w:val="both"/>
              <w:rPr>
                <w:rFonts w:ascii="Times New Roman" w:eastAsia="Book Antiqua" w:hAnsi="Times New Roman" w:cs="Times New Roman"/>
                <w:color w:val="000000"/>
                <w:sz w:val="20"/>
                <w:szCs w:val="20"/>
              </w:rPr>
            </w:pPr>
            <w:r w:rsidRPr="00264785">
              <w:rPr>
                <w:rFonts w:ascii="Times New Roman" w:eastAsia="Book Antiqua" w:hAnsi="Times New Roman" w:cs="Times New Roman"/>
                <w:color w:val="000000"/>
                <w:sz w:val="20"/>
                <w:szCs w:val="20"/>
              </w:rPr>
              <w:t xml:space="preserve">Penelitian </w:t>
            </w:r>
            <w:proofErr w:type="spellStart"/>
            <w:r w:rsidRPr="00264785">
              <w:rPr>
                <w:rFonts w:ascii="Times New Roman" w:eastAsia="Book Antiqua" w:hAnsi="Times New Roman" w:cs="Times New Roman"/>
                <w:color w:val="000000"/>
                <w:sz w:val="20"/>
                <w:szCs w:val="20"/>
              </w:rPr>
              <w:t>ini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mengkaji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secara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kritis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pembekuan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berita</w:t>
            </w:r>
            <w:proofErr w:type="spellEnd"/>
            <w:r w:rsidRPr="00264785">
              <w:rPr>
                <w:rFonts w:ascii="Times New Roman" w:eastAsia="Book Antiqua" w:hAnsi="Times New Roman" w:cs="Times New Roman"/>
                <w:color w:val="000000"/>
                <w:sz w:val="20"/>
                <w:szCs w:val="20"/>
              </w:rPr>
              <w:t xml:space="preserve"> acara </w:t>
            </w:r>
            <w:proofErr w:type="spellStart"/>
            <w:r w:rsidRPr="00264785">
              <w:rPr>
                <w:rFonts w:ascii="Times New Roman" w:eastAsia="Book Antiqua" w:hAnsi="Times New Roman" w:cs="Times New Roman"/>
                <w:color w:val="000000"/>
                <w:sz w:val="20"/>
                <w:szCs w:val="20"/>
              </w:rPr>
              <w:t>sumpah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Firdaus </w:t>
            </w:r>
            <w:proofErr w:type="spellStart"/>
            <w:r w:rsidRPr="00264785">
              <w:rPr>
                <w:rFonts w:ascii="Times New Roman" w:eastAsia="Book Antiqua" w:hAnsi="Times New Roman" w:cs="Times New Roman"/>
                <w:color w:val="000000"/>
                <w:sz w:val="20"/>
                <w:szCs w:val="20"/>
              </w:rPr>
              <w:t>Oiwobo</w:t>
            </w:r>
            <w:proofErr w:type="spellEnd"/>
            <w:r w:rsidRPr="00264785">
              <w:rPr>
                <w:rFonts w:ascii="Times New Roman" w:eastAsia="Book Antiqua" w:hAnsi="Times New Roman" w:cs="Times New Roman"/>
                <w:color w:val="000000"/>
                <w:sz w:val="20"/>
                <w:szCs w:val="20"/>
              </w:rPr>
              <w:t xml:space="preserve">, S.H., dan </w:t>
            </w:r>
            <w:proofErr w:type="spellStart"/>
            <w:r w:rsidRPr="00264785">
              <w:rPr>
                <w:rFonts w:ascii="Times New Roman" w:eastAsia="Book Antiqua" w:hAnsi="Times New Roman" w:cs="Times New Roman"/>
                <w:color w:val="000000"/>
                <w:sz w:val="20"/>
                <w:szCs w:val="20"/>
              </w:rPr>
              <w:t>Razman</w:t>
            </w:r>
            <w:proofErr w:type="spellEnd"/>
            <w:r w:rsidRPr="00264785">
              <w:rPr>
                <w:rFonts w:ascii="Times New Roman" w:eastAsia="Book Antiqua" w:hAnsi="Times New Roman" w:cs="Times New Roman"/>
                <w:color w:val="000000"/>
                <w:sz w:val="20"/>
                <w:szCs w:val="20"/>
              </w:rPr>
              <w:t xml:space="preserve"> Arif Nasution oleh </w:t>
            </w:r>
            <w:proofErr w:type="spellStart"/>
            <w:r w:rsidRPr="00264785">
              <w:rPr>
                <w:rFonts w:ascii="Times New Roman" w:eastAsia="Book Antiqua" w:hAnsi="Times New Roman" w:cs="Times New Roman"/>
                <w:color w:val="000000"/>
                <w:sz w:val="20"/>
                <w:szCs w:val="20"/>
              </w:rPr>
              <w:t>Pengadilan</w:t>
            </w:r>
            <w:proofErr w:type="spellEnd"/>
            <w:r w:rsidRPr="00264785">
              <w:rPr>
                <w:rFonts w:ascii="Times New Roman" w:eastAsia="Book Antiqua" w:hAnsi="Times New Roman" w:cs="Times New Roman"/>
                <w:color w:val="000000"/>
                <w:sz w:val="20"/>
                <w:szCs w:val="20"/>
              </w:rPr>
              <w:t xml:space="preserve"> Tinggi Ambon dan Banten </w:t>
            </w:r>
            <w:proofErr w:type="spellStart"/>
            <w:r w:rsidRPr="00264785">
              <w:rPr>
                <w:rFonts w:ascii="Times New Roman" w:eastAsia="Book Antiqua" w:hAnsi="Times New Roman" w:cs="Times New Roman"/>
                <w:color w:val="000000"/>
                <w:sz w:val="20"/>
                <w:szCs w:val="20"/>
              </w:rPr>
              <w:t>dalam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kerangka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dialektika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mempertemukan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ketegangan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antara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independensi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supremasi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yudisial</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batasan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konsep</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contempt of court</w:t>
            </w:r>
            <w:r w:rsidRPr="00264785">
              <w:rPr>
                <w:rFonts w:ascii="Times New Roman" w:eastAsia="Book Antiqua" w:hAnsi="Times New Roman" w:cs="Times New Roman"/>
                <w:color w:val="000000"/>
                <w:sz w:val="20"/>
                <w:szCs w:val="20"/>
              </w:rPr>
              <w:t xml:space="preserve">. Problem </w:t>
            </w:r>
            <w:proofErr w:type="spellStart"/>
            <w:r w:rsidRPr="00264785">
              <w:rPr>
                <w:rFonts w:ascii="Times New Roman" w:eastAsia="Book Antiqua" w:hAnsi="Times New Roman" w:cs="Times New Roman"/>
                <w:color w:val="000000"/>
                <w:sz w:val="20"/>
                <w:szCs w:val="20"/>
              </w:rPr>
              <w:t>akademis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utama</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diangkat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adalah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bagaimana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kewenangan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pengadilan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dalam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menegakkan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disiplin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persidangan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dapat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berbenturan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dengan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prinsip</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due process of law</w:t>
            </w:r>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serta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doktrin</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 xml:space="preserve">officium </w:t>
            </w:r>
            <w:proofErr w:type="spellStart"/>
            <w:r w:rsidRPr="00264785">
              <w:rPr>
                <w:rFonts w:ascii="Times New Roman" w:eastAsia="Book Antiqua" w:hAnsi="Times New Roman" w:cs="Times New Roman"/>
                <w:i/>
                <w:iCs/>
                <w:color w:val="000000"/>
                <w:sz w:val="20"/>
                <w:szCs w:val="20"/>
              </w:rPr>
              <w:t>nobile</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menjadi</w:t>
            </w:r>
            <w:proofErr w:type="spellEnd"/>
            <w:r w:rsidRPr="00264785">
              <w:rPr>
                <w:rFonts w:ascii="Times New Roman" w:eastAsia="Book Antiqua" w:hAnsi="Times New Roman" w:cs="Times New Roman"/>
                <w:color w:val="000000"/>
                <w:sz w:val="20"/>
                <w:szCs w:val="20"/>
              </w:rPr>
              <w:t xml:space="preserve"> basis fundamental </w:t>
            </w:r>
            <w:proofErr w:type="spellStart"/>
            <w:r w:rsidRPr="00264785">
              <w:rPr>
                <w:rFonts w:ascii="Times New Roman" w:eastAsia="Book Antiqua" w:hAnsi="Times New Roman" w:cs="Times New Roman"/>
                <w:color w:val="000000"/>
                <w:sz w:val="20"/>
                <w:szCs w:val="20"/>
              </w:rPr>
              <w:t>independensi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Karena </w:t>
            </w:r>
            <w:proofErr w:type="spellStart"/>
            <w:r w:rsidRPr="00264785">
              <w:rPr>
                <w:rFonts w:ascii="Times New Roman" w:eastAsia="Book Antiqua" w:hAnsi="Times New Roman" w:cs="Times New Roman"/>
                <w:color w:val="000000"/>
                <w:sz w:val="20"/>
                <w:szCs w:val="20"/>
              </w:rPr>
              <w:t>itu</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penelitian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bertujuan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untuk</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menganalisis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legitimasi</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implikasi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yuridis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dari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pembekuan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sumpah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sebagai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instrumen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pengendalian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profesi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sekaligus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mengidentifikasi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potensi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penyalahgunaan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kewenangan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yudisial</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dalam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konstruksi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Indonesia. </w:t>
            </w:r>
            <w:proofErr w:type="spellStart"/>
            <w:r w:rsidRPr="00264785">
              <w:rPr>
                <w:rFonts w:ascii="Times New Roman" w:eastAsia="Book Antiqua" w:hAnsi="Times New Roman" w:cs="Times New Roman"/>
                <w:color w:val="000000"/>
                <w:sz w:val="20"/>
                <w:szCs w:val="20"/>
              </w:rPr>
              <w:t>Dengan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menggunakan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metode</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normatif</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yuridis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melalui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pendekatan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perundang-undangan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kasus</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konseptual</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dianalisis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secara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hermeneutik-kritis</w:t>
            </w:r>
            <w:proofErr w:type="spellEnd"/>
            <w:r w:rsidRPr="00264785">
              <w:rPr>
                <w:rFonts w:ascii="Times New Roman" w:eastAsia="Book Antiqua" w:hAnsi="Times New Roman" w:cs="Times New Roman"/>
                <w:color w:val="000000"/>
                <w:sz w:val="20"/>
                <w:szCs w:val="20"/>
              </w:rPr>
              <w:t xml:space="preserve">. Hasil </w:t>
            </w:r>
            <w:proofErr w:type="spellStart"/>
            <w:r w:rsidRPr="00264785">
              <w:rPr>
                <w:rFonts w:ascii="Times New Roman" w:eastAsia="Book Antiqua" w:hAnsi="Times New Roman" w:cs="Times New Roman"/>
                <w:color w:val="000000"/>
                <w:sz w:val="20"/>
                <w:szCs w:val="20"/>
              </w:rPr>
              <w:t>penelitian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menunjukkan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bahwa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pembekuan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sumpah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oleh </w:t>
            </w:r>
            <w:proofErr w:type="spellStart"/>
            <w:r w:rsidRPr="00264785">
              <w:rPr>
                <w:rFonts w:ascii="Times New Roman" w:eastAsia="Book Antiqua" w:hAnsi="Times New Roman" w:cs="Times New Roman"/>
                <w:color w:val="000000"/>
                <w:sz w:val="20"/>
                <w:szCs w:val="20"/>
              </w:rPr>
              <w:t>pengadilan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tinggi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tidak</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sekadar</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tindakan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administratif</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tetapi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merupakan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wujud</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intervensi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yudisial</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berimplikasi</w:t>
            </w:r>
            <w:proofErr w:type="spellEnd"/>
            <w:r w:rsidRPr="00264785">
              <w:rPr>
                <w:rFonts w:ascii="Times New Roman" w:eastAsia="Book Antiqua" w:hAnsi="Times New Roman" w:cs="Times New Roman"/>
                <w:color w:val="000000"/>
                <w:sz w:val="20"/>
                <w:szCs w:val="20"/>
              </w:rPr>
              <w:t xml:space="preserve"> pada </w:t>
            </w:r>
            <w:proofErr w:type="spellStart"/>
            <w:r w:rsidRPr="00264785">
              <w:rPr>
                <w:rFonts w:ascii="Times New Roman" w:eastAsia="Book Antiqua" w:hAnsi="Times New Roman" w:cs="Times New Roman"/>
                <w:color w:val="000000"/>
                <w:sz w:val="20"/>
                <w:szCs w:val="20"/>
              </w:rPr>
              <w:t>pelemahan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independensi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profesi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Meskipun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bertujuan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menjaga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marwah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peradilan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tindakan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tersebut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melampaui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batas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kewenangan</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sah</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bertentangan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dengan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prinsip</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fair trial</w:t>
            </w:r>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serta</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due process of law</w:t>
            </w:r>
            <w:r w:rsidRPr="00264785">
              <w:rPr>
                <w:rFonts w:ascii="Times New Roman" w:eastAsia="Book Antiqua" w:hAnsi="Times New Roman" w:cs="Times New Roman"/>
                <w:color w:val="000000"/>
                <w:sz w:val="20"/>
                <w:szCs w:val="20"/>
              </w:rPr>
              <w:t xml:space="preserve">. Selain </w:t>
            </w:r>
            <w:proofErr w:type="spellStart"/>
            <w:r w:rsidRPr="00264785">
              <w:rPr>
                <w:rFonts w:ascii="Times New Roman" w:eastAsia="Book Antiqua" w:hAnsi="Times New Roman" w:cs="Times New Roman"/>
                <w:color w:val="000000"/>
                <w:sz w:val="20"/>
                <w:szCs w:val="20"/>
              </w:rPr>
              <w:t>itu</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contempt of court</w:t>
            </w:r>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dalam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sistem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Indonesia </w:t>
            </w:r>
            <w:proofErr w:type="spellStart"/>
            <w:r w:rsidRPr="00264785">
              <w:rPr>
                <w:rFonts w:ascii="Times New Roman" w:eastAsia="Book Antiqua" w:hAnsi="Times New Roman" w:cs="Times New Roman"/>
                <w:color w:val="000000"/>
                <w:sz w:val="20"/>
                <w:szCs w:val="20"/>
              </w:rPr>
              <w:t>masih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memiliki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ambiguitas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regulasi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sehingga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dapat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menjadi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instrumen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represif</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terhadap</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bersikap</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kritis</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dalam</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ruang</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persidangan</w:t>
            </w:r>
            <w:proofErr w:type="spellEnd"/>
            <w:r w:rsidRPr="00264785">
              <w:rPr>
                <w:rFonts w:ascii="Times New Roman" w:eastAsia="Book Antiqua" w:hAnsi="Times New Roman" w:cs="Times New Roman"/>
                <w:color w:val="000000"/>
                <w:sz w:val="20"/>
                <w:szCs w:val="20"/>
              </w:rPr>
              <w:t xml:space="preserve">. Penelitian </w:t>
            </w:r>
            <w:proofErr w:type="spellStart"/>
            <w:r w:rsidRPr="00264785">
              <w:rPr>
                <w:rFonts w:ascii="Times New Roman" w:eastAsia="Book Antiqua" w:hAnsi="Times New Roman" w:cs="Times New Roman"/>
                <w:color w:val="000000"/>
                <w:sz w:val="20"/>
                <w:szCs w:val="20"/>
              </w:rPr>
              <w:t>ini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merekomendasikan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revisi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regulasi</w:t>
            </w:r>
            <w:proofErr w:type="spellEnd"/>
            <w:r w:rsidRPr="00264785">
              <w:rPr>
                <w:rFonts w:ascii="Times New Roman" w:eastAsia="Book Antiqua" w:hAnsi="Times New Roman" w:cs="Times New Roman"/>
                <w:color w:val="000000"/>
                <w:sz w:val="20"/>
                <w:szCs w:val="20"/>
              </w:rPr>
              <w:t xml:space="preserve"> </w:t>
            </w:r>
            <w:r w:rsidRPr="00264785">
              <w:rPr>
                <w:rFonts w:ascii="Times New Roman" w:eastAsia="Book Antiqua" w:hAnsi="Times New Roman" w:cs="Times New Roman"/>
                <w:i/>
                <w:iCs/>
                <w:color w:val="000000"/>
                <w:sz w:val="20"/>
                <w:szCs w:val="20"/>
              </w:rPr>
              <w:t>contempt of court</w:t>
            </w:r>
            <w:r w:rsidRPr="00264785">
              <w:rPr>
                <w:rFonts w:ascii="Times New Roman" w:eastAsia="Book Antiqua" w:hAnsi="Times New Roman" w:cs="Times New Roman"/>
                <w:color w:val="000000"/>
                <w:sz w:val="20"/>
                <w:szCs w:val="20"/>
              </w:rPr>
              <w:t xml:space="preserve"> agar </w:t>
            </w:r>
            <w:proofErr w:type="spellStart"/>
            <w:r w:rsidRPr="00264785">
              <w:rPr>
                <w:rFonts w:ascii="Times New Roman" w:eastAsia="Book Antiqua" w:hAnsi="Times New Roman" w:cs="Times New Roman"/>
                <w:color w:val="000000"/>
                <w:sz w:val="20"/>
                <w:szCs w:val="20"/>
              </w:rPr>
              <w:t>tidak</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membatasi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kebebasan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advokat</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serta</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mendorong</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pedoman</w:t>
            </w:r>
            <w:proofErr w:type="spellEnd"/>
            <w:r w:rsidRPr="00264785">
              <w:rPr>
                <w:rFonts w:ascii="Times New Roman" w:eastAsia="Book Antiqua" w:hAnsi="Times New Roman" w:cs="Times New Roman"/>
                <w:color w:val="000000"/>
                <w:sz w:val="20"/>
                <w:szCs w:val="20"/>
              </w:rPr>
              <w:t xml:space="preserve"> yang </w:t>
            </w:r>
            <w:proofErr w:type="spellStart"/>
            <w:r w:rsidRPr="00264785">
              <w:rPr>
                <w:rFonts w:ascii="Times New Roman" w:eastAsia="Book Antiqua" w:hAnsi="Times New Roman" w:cs="Times New Roman"/>
                <w:color w:val="000000"/>
                <w:sz w:val="20"/>
                <w:szCs w:val="20"/>
              </w:rPr>
              <w:t>menyeimbangkan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kewenangan</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yudisial</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independensi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profesi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demi </w:t>
            </w:r>
            <w:proofErr w:type="spellStart"/>
            <w:r w:rsidRPr="00264785">
              <w:rPr>
                <w:rFonts w:ascii="Times New Roman" w:eastAsia="Book Antiqua" w:hAnsi="Times New Roman" w:cs="Times New Roman"/>
                <w:color w:val="000000"/>
                <w:sz w:val="20"/>
                <w:szCs w:val="20"/>
              </w:rPr>
              <w:t>mencegah</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distorsi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supremasi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hukum</w:t>
            </w:r>
            <w:proofErr w:type="spellEnd"/>
            <w:r w:rsidRPr="00264785">
              <w:rPr>
                <w:rFonts w:ascii="Times New Roman" w:eastAsia="Book Antiqua" w:hAnsi="Times New Roman" w:cs="Times New Roman"/>
                <w:color w:val="000000"/>
                <w:sz w:val="20"/>
                <w:szCs w:val="20"/>
              </w:rPr>
              <w:t xml:space="preserve"> dan </w:t>
            </w:r>
            <w:proofErr w:type="spellStart"/>
            <w:r w:rsidRPr="00264785">
              <w:rPr>
                <w:rFonts w:ascii="Times New Roman" w:eastAsia="Book Antiqua" w:hAnsi="Times New Roman" w:cs="Times New Roman"/>
                <w:color w:val="000000"/>
                <w:sz w:val="20"/>
                <w:szCs w:val="20"/>
              </w:rPr>
              <w:t>delegitimasi</w:t>
            </w:r>
            <w:proofErr w:type="spellEnd"/>
            <w:r w:rsidRPr="00264785">
              <w:rPr>
                <w:rFonts w:ascii="Times New Roman" w:eastAsia="Book Antiqua" w:hAnsi="Times New Roman" w:cs="Times New Roman"/>
                <w:color w:val="000000"/>
                <w:sz w:val="20"/>
                <w:szCs w:val="20"/>
              </w:rPr>
              <w:t xml:space="preserve"> </w:t>
            </w:r>
            <w:proofErr w:type="spellStart"/>
            <w:r w:rsidRPr="00264785">
              <w:rPr>
                <w:rFonts w:ascii="Times New Roman" w:eastAsia="Book Antiqua" w:hAnsi="Times New Roman" w:cs="Times New Roman"/>
                <w:color w:val="000000"/>
                <w:sz w:val="20"/>
                <w:szCs w:val="20"/>
              </w:rPr>
              <w:t>institusional</w:t>
            </w:r>
            <w:proofErr w:type="spellEnd"/>
            <w:r w:rsidR="00186B88" w:rsidRPr="00264785">
              <w:rPr>
                <w:rFonts w:ascii="Times New Roman" w:eastAsia="Times New Roman" w:hAnsi="Times New Roman" w:cs="Times New Roman"/>
                <w:color w:val="000000"/>
                <w:sz w:val="20"/>
                <w:szCs w:val="20"/>
              </w:rPr>
              <w:t>.</w:t>
            </w:r>
          </w:p>
        </w:tc>
      </w:tr>
      <w:tr w:rsidR="00F232DA" w14:paraId="67102FFA" w14:textId="77777777">
        <w:trPr>
          <w:trHeight w:val="1482"/>
        </w:trPr>
        <w:tc>
          <w:tcPr>
            <w:tcW w:w="2977" w:type="dxa"/>
            <w:tcBorders>
              <w:top w:val="single" w:sz="4" w:space="0" w:color="000000"/>
              <w:left w:val="nil"/>
              <w:bottom w:val="single" w:sz="4" w:space="0" w:color="000000"/>
              <w:right w:val="nil"/>
            </w:tcBorders>
          </w:tcPr>
          <w:p w14:paraId="766F5ED8" w14:textId="77777777" w:rsidR="00F232DA" w:rsidRDefault="00186B88">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F6A0E24" w14:textId="77777777" w:rsidR="00264785" w:rsidRDefault="00264785">
            <w:pPr>
              <w:jc w:val="both"/>
              <w:rPr>
                <w:rFonts w:ascii="Times New Roman" w:eastAsia="Times New Roman" w:hAnsi="Times New Roman" w:cs="Times New Roman"/>
                <w:sz w:val="18"/>
                <w:szCs w:val="18"/>
              </w:rPr>
            </w:pPr>
            <w:r w:rsidRPr="00264785">
              <w:rPr>
                <w:rFonts w:ascii="Times New Roman" w:eastAsia="Times New Roman" w:hAnsi="Times New Roman" w:cs="Times New Roman"/>
                <w:sz w:val="18"/>
                <w:szCs w:val="18"/>
              </w:rPr>
              <w:t>Contempt of Court</w:t>
            </w:r>
          </w:p>
          <w:p w14:paraId="4CC1423C" w14:textId="77777777" w:rsidR="00264785" w:rsidRDefault="00264785">
            <w:pPr>
              <w:jc w:val="both"/>
              <w:rPr>
                <w:rFonts w:ascii="Times New Roman" w:eastAsia="Times New Roman" w:hAnsi="Times New Roman" w:cs="Times New Roman"/>
                <w:sz w:val="18"/>
                <w:szCs w:val="18"/>
              </w:rPr>
            </w:pPr>
            <w:r w:rsidRPr="00264785">
              <w:rPr>
                <w:rFonts w:ascii="Times New Roman" w:eastAsia="Times New Roman" w:hAnsi="Times New Roman" w:cs="Times New Roman"/>
                <w:sz w:val="18"/>
                <w:szCs w:val="18"/>
              </w:rPr>
              <w:t>Advocate Independence</w:t>
            </w:r>
          </w:p>
          <w:p w14:paraId="20F3A621" w14:textId="77777777" w:rsidR="00264785" w:rsidRDefault="00264785">
            <w:pPr>
              <w:jc w:val="both"/>
              <w:rPr>
                <w:rFonts w:ascii="Times New Roman" w:eastAsia="Times New Roman" w:hAnsi="Times New Roman" w:cs="Times New Roman"/>
                <w:sz w:val="18"/>
                <w:szCs w:val="18"/>
              </w:rPr>
            </w:pPr>
            <w:r w:rsidRPr="00264785">
              <w:rPr>
                <w:rFonts w:ascii="Times New Roman" w:eastAsia="Times New Roman" w:hAnsi="Times New Roman" w:cs="Times New Roman"/>
                <w:sz w:val="18"/>
                <w:szCs w:val="18"/>
              </w:rPr>
              <w:t>Judicial Authority</w:t>
            </w:r>
          </w:p>
          <w:p w14:paraId="29991123" w14:textId="78201FDA" w:rsidR="00264785" w:rsidRDefault="00264785">
            <w:pPr>
              <w:jc w:val="both"/>
              <w:rPr>
                <w:rFonts w:ascii="Times New Roman" w:eastAsia="Times New Roman" w:hAnsi="Times New Roman" w:cs="Times New Roman"/>
                <w:sz w:val="18"/>
                <w:szCs w:val="18"/>
              </w:rPr>
            </w:pPr>
            <w:r w:rsidRPr="00264785">
              <w:rPr>
                <w:rFonts w:ascii="Times New Roman" w:eastAsia="Times New Roman" w:hAnsi="Times New Roman" w:cs="Times New Roman"/>
                <w:sz w:val="18"/>
                <w:szCs w:val="18"/>
              </w:rPr>
              <w:t>Rule of Law</w:t>
            </w:r>
          </w:p>
          <w:p w14:paraId="17E0C5D9" w14:textId="7033390A" w:rsidR="00F232DA" w:rsidRDefault="00264785">
            <w:pPr>
              <w:jc w:val="both"/>
              <w:rPr>
                <w:rFonts w:ascii="Times New Roman" w:eastAsia="Times New Roman" w:hAnsi="Times New Roman" w:cs="Times New Roman"/>
                <w:b/>
                <w:i/>
              </w:rPr>
            </w:pPr>
            <w:r w:rsidRPr="00264785">
              <w:rPr>
                <w:rFonts w:ascii="Times New Roman" w:eastAsia="Times New Roman" w:hAnsi="Times New Roman" w:cs="Times New Roman"/>
                <w:sz w:val="18"/>
                <w:szCs w:val="18"/>
              </w:rPr>
              <w:t>Due Process of Law</w:t>
            </w:r>
          </w:p>
        </w:tc>
        <w:tc>
          <w:tcPr>
            <w:tcW w:w="283" w:type="dxa"/>
            <w:vMerge/>
            <w:tcBorders>
              <w:top w:val="nil"/>
              <w:left w:val="nil"/>
              <w:bottom w:val="nil"/>
              <w:right w:val="nil"/>
            </w:tcBorders>
          </w:tcPr>
          <w:p w14:paraId="2512E3FC" w14:textId="77777777" w:rsidR="00F232DA" w:rsidRDefault="00F232DA">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14:paraId="60C0FF54" w14:textId="77777777" w:rsidR="00F232DA" w:rsidRDefault="00F232DA">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F232DA" w14:paraId="4121F7D1" w14:textId="77777777">
        <w:trPr>
          <w:trHeight w:val="70"/>
        </w:trPr>
        <w:tc>
          <w:tcPr>
            <w:tcW w:w="2977" w:type="dxa"/>
            <w:tcBorders>
              <w:top w:val="single" w:sz="4" w:space="0" w:color="000000"/>
              <w:left w:val="nil"/>
              <w:bottom w:val="single" w:sz="4" w:space="0" w:color="000000"/>
              <w:right w:val="nil"/>
            </w:tcBorders>
          </w:tcPr>
          <w:p w14:paraId="730D6A53" w14:textId="77777777" w:rsidR="00F232DA" w:rsidRDefault="00186B88">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64B4F08E" w14:textId="77777777" w:rsidR="00F232DA" w:rsidRDefault="00F232DA">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14:paraId="0C7D61EA" w14:textId="049EC988" w:rsidR="00F232DA" w:rsidRDefault="00186B88">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w:t>
            </w:r>
          </w:p>
        </w:tc>
      </w:tr>
      <w:tr w:rsidR="00F232DA" w14:paraId="77496D7F" w14:textId="77777777">
        <w:trPr>
          <w:trHeight w:val="70"/>
        </w:trPr>
        <w:tc>
          <w:tcPr>
            <w:tcW w:w="2977" w:type="dxa"/>
            <w:tcBorders>
              <w:top w:val="single" w:sz="4" w:space="0" w:color="000000"/>
              <w:left w:val="nil"/>
              <w:bottom w:val="single" w:sz="4" w:space="0" w:color="000000"/>
              <w:right w:val="nil"/>
            </w:tcBorders>
          </w:tcPr>
          <w:p w14:paraId="4F2CF467" w14:textId="77777777" w:rsidR="00F232DA" w:rsidRDefault="00186B88">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AA8E757" w14:textId="77777777" w:rsidR="00F232DA" w:rsidRDefault="00186B88">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Bulan, </w:t>
            </w:r>
            <w:proofErr w:type="spellStart"/>
            <w:r>
              <w:rPr>
                <w:rFonts w:ascii="Times New Roman" w:eastAsia="Times New Roman" w:hAnsi="Times New Roman" w:cs="Times New Roman"/>
                <w:sz w:val="20"/>
                <w:szCs w:val="20"/>
              </w:rPr>
              <w:t>Tahun</w:t>
            </w:r>
            <w:proofErr w:type="spellEnd"/>
          </w:p>
          <w:p w14:paraId="0CBFB8DE" w14:textId="77777777" w:rsidR="00F232DA" w:rsidRDefault="00186B88">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Bulan,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3223E255" w14:textId="77777777" w:rsidR="00F232DA" w:rsidRDefault="00F232DA">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25AEADDF" w14:textId="77777777" w:rsidR="00F232DA" w:rsidRDefault="00F232DA">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3951196E" w14:textId="0F445B66" w:rsidR="00F232DA" w:rsidRPr="00264785" w:rsidRDefault="00264785" w:rsidP="00264785">
            <w:pPr>
              <w:widowControl w:val="0"/>
              <w:pBdr>
                <w:top w:val="nil"/>
                <w:left w:val="nil"/>
                <w:bottom w:val="nil"/>
                <w:right w:val="nil"/>
                <w:between w:val="nil"/>
              </w:pBdr>
              <w:jc w:val="both"/>
              <w:rPr>
                <w:rFonts w:ascii="Times New Roman" w:eastAsia="Book Antiqua" w:hAnsi="Times New Roman" w:cs="Times New Roman"/>
                <w:color w:val="000000"/>
                <w:sz w:val="20"/>
                <w:szCs w:val="20"/>
              </w:rPr>
            </w:pPr>
            <w:r w:rsidRPr="00264785">
              <w:rPr>
                <w:rFonts w:ascii="Times New Roman" w:eastAsia="Book Antiqua" w:hAnsi="Times New Roman" w:cs="Times New Roman"/>
                <w:color w:val="000000"/>
                <w:sz w:val="20"/>
                <w:szCs w:val="20"/>
              </w:rPr>
              <w:t xml:space="preserve">This research critically examines the suspension of the minutes of the oath of advocates Firdaus </w:t>
            </w:r>
            <w:proofErr w:type="spellStart"/>
            <w:r w:rsidRPr="00264785">
              <w:rPr>
                <w:rFonts w:ascii="Times New Roman" w:eastAsia="Book Antiqua" w:hAnsi="Times New Roman" w:cs="Times New Roman"/>
                <w:color w:val="000000"/>
                <w:sz w:val="20"/>
                <w:szCs w:val="20"/>
              </w:rPr>
              <w:t>Oiwobo</w:t>
            </w:r>
            <w:proofErr w:type="spellEnd"/>
            <w:r w:rsidRPr="00264785">
              <w:rPr>
                <w:rFonts w:ascii="Times New Roman" w:eastAsia="Book Antiqua" w:hAnsi="Times New Roman" w:cs="Times New Roman"/>
                <w:color w:val="000000"/>
                <w:sz w:val="20"/>
                <w:szCs w:val="20"/>
              </w:rPr>
              <w:t xml:space="preserve">, and </w:t>
            </w:r>
            <w:proofErr w:type="spellStart"/>
            <w:r w:rsidRPr="00264785">
              <w:rPr>
                <w:rFonts w:ascii="Times New Roman" w:eastAsia="Book Antiqua" w:hAnsi="Times New Roman" w:cs="Times New Roman"/>
                <w:color w:val="000000"/>
                <w:sz w:val="20"/>
                <w:szCs w:val="20"/>
              </w:rPr>
              <w:t>Razman</w:t>
            </w:r>
            <w:proofErr w:type="spellEnd"/>
            <w:r w:rsidRPr="00264785">
              <w:rPr>
                <w:rFonts w:ascii="Times New Roman" w:eastAsia="Book Antiqua" w:hAnsi="Times New Roman" w:cs="Times New Roman"/>
                <w:color w:val="000000"/>
                <w:sz w:val="20"/>
                <w:szCs w:val="20"/>
              </w:rPr>
              <w:t xml:space="preserve"> Arif Nasution, by the Ambon and Banten High Courts within the framework of a legal dialectic that reconciles the tension between advocate independence, judicial supremacy, and the limits of the concept of contempt of court. The main academic problem raised is how the court's authority to enforce trial discipline can conflict with the principle of due process of law and the doctrine of officium </w:t>
            </w:r>
            <w:proofErr w:type="spellStart"/>
            <w:r w:rsidRPr="00264785">
              <w:rPr>
                <w:rFonts w:ascii="Times New Roman" w:eastAsia="Book Antiqua" w:hAnsi="Times New Roman" w:cs="Times New Roman"/>
                <w:color w:val="000000"/>
                <w:sz w:val="20"/>
                <w:szCs w:val="20"/>
              </w:rPr>
              <w:t>nobile</w:t>
            </w:r>
            <w:proofErr w:type="spellEnd"/>
            <w:r w:rsidRPr="00264785">
              <w:rPr>
                <w:rFonts w:ascii="Times New Roman" w:eastAsia="Book Antiqua" w:hAnsi="Times New Roman" w:cs="Times New Roman"/>
                <w:color w:val="000000"/>
                <w:sz w:val="20"/>
                <w:szCs w:val="20"/>
              </w:rPr>
              <w:t xml:space="preserve"> which is the fundamental basis of advocate independence. Therefore, this research aims to analyze the legitimacy and juridical implications of freezing the advocate's oath as an instrument of control of the legal profession, as well as identifying the potential for abuse of judicial authority in the construction of Indonesian law. By using normative juridical methods through statutory, case and conceptual approaches which are analyzed hermeneutically-critically. The research results show that the suspension of the advocate's oath by the high court is not just an administrative action, but is a form of judicial intervention which has implications for weakening </w:t>
            </w:r>
            <w:r w:rsidRPr="00264785">
              <w:rPr>
                <w:rFonts w:ascii="Times New Roman" w:eastAsia="Book Antiqua" w:hAnsi="Times New Roman" w:cs="Times New Roman"/>
                <w:color w:val="000000"/>
                <w:sz w:val="20"/>
                <w:szCs w:val="20"/>
              </w:rPr>
              <w:lastRenderedPageBreak/>
              <w:t>the independence of the legal profession. Even though it aims to protect the dignity of the judiciary, this action exceeds the limits of legitimate authority and is contrary to the principles of fair trial and due process of law. Apart from that, contempt of court in the Indonesian legal system still has regulatory ambiguity, so it can become a repressive instrument against advocates who are critical in the courtroom. This research recommends revising the contempt of court regulations so as not to limit the freedom of advocates and encourages guidelines that balance judicial authority and the independence of the legal profession, in order to prevent distortion of the rule of law and institutional delegitimization.</w:t>
            </w:r>
          </w:p>
        </w:tc>
      </w:tr>
      <w:tr w:rsidR="00F232DA" w14:paraId="101269D5" w14:textId="77777777">
        <w:trPr>
          <w:trHeight w:val="70"/>
        </w:trPr>
        <w:tc>
          <w:tcPr>
            <w:tcW w:w="2977" w:type="dxa"/>
            <w:tcBorders>
              <w:top w:val="single" w:sz="4" w:space="0" w:color="000000"/>
              <w:left w:val="nil"/>
              <w:bottom w:val="single" w:sz="4" w:space="0" w:color="000000"/>
              <w:right w:val="nil"/>
            </w:tcBorders>
          </w:tcPr>
          <w:p w14:paraId="56FA877D" w14:textId="77777777" w:rsidR="00F232DA" w:rsidRDefault="00F232DA">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642CA50B" w14:textId="77777777" w:rsidR="00F232DA" w:rsidRDefault="00F232DA">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1FC480A6" w14:textId="77777777" w:rsidR="00F232DA" w:rsidRDefault="00186B88">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50881820" w14:textId="77777777" w:rsidR="00F232DA" w:rsidRDefault="00186B88">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1FBEB970" wp14:editId="72DCB37C">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F232DA" w14:paraId="11F97ACD" w14:textId="77777777">
        <w:tc>
          <w:tcPr>
            <w:tcW w:w="9923" w:type="dxa"/>
            <w:gridSpan w:val="3"/>
            <w:tcBorders>
              <w:top w:val="nil"/>
              <w:left w:val="nil"/>
              <w:bottom w:val="single" w:sz="4" w:space="0" w:color="000000"/>
              <w:right w:val="nil"/>
            </w:tcBorders>
          </w:tcPr>
          <w:p w14:paraId="2D72BA91" w14:textId="77777777" w:rsidR="00F232DA" w:rsidRDefault="00186B88">
            <w:pPr>
              <w:rPr>
                <w:rFonts w:ascii="Times New Roman" w:eastAsia="Times New Roman" w:hAnsi="Times New Roman" w:cs="Times New Roman"/>
                <w:b/>
                <w:i/>
              </w:rPr>
            </w:pPr>
            <w:r>
              <w:rPr>
                <w:rFonts w:ascii="Times New Roman" w:eastAsia="Times New Roman" w:hAnsi="Times New Roman" w:cs="Times New Roman"/>
                <w:b/>
                <w:i/>
              </w:rPr>
              <w:t>Corresponding Author:</w:t>
            </w:r>
          </w:p>
          <w:p w14:paraId="22CAFFBD" w14:textId="19F5D41B" w:rsidR="00F232DA" w:rsidRDefault="00264785">
            <w:pPr>
              <w:rPr>
                <w:rFonts w:ascii="Times New Roman" w:eastAsia="Times New Roman" w:hAnsi="Times New Roman" w:cs="Times New Roman"/>
              </w:rPr>
            </w:pPr>
            <w:r>
              <w:rPr>
                <w:rFonts w:ascii="Times New Roman" w:eastAsia="Times New Roman" w:hAnsi="Times New Roman" w:cs="Times New Roman"/>
                <w:b/>
              </w:rPr>
              <w:t>Ludfi</w:t>
            </w:r>
            <w:r w:rsidR="00186B88">
              <w:rPr>
                <w:rFonts w:ascii="Times New Roman" w:eastAsia="Times New Roman" w:hAnsi="Times New Roman" w:cs="Times New Roman"/>
              </w:rPr>
              <w:t xml:space="preserve"> </w:t>
            </w:r>
          </w:p>
          <w:p w14:paraId="60C1B26D" w14:textId="4F6456FC" w:rsidR="00F232DA" w:rsidRDefault="00264785">
            <w:pPr>
              <w:rPr>
                <w:rFonts w:ascii="Times New Roman" w:eastAsia="Times New Roman" w:hAnsi="Times New Roman" w:cs="Times New Roman"/>
              </w:rPr>
            </w:pP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Tinggi Agama Islam Al </w:t>
            </w:r>
            <w:proofErr w:type="spellStart"/>
            <w:r>
              <w:rPr>
                <w:rFonts w:ascii="Times New Roman" w:eastAsia="Times New Roman" w:hAnsi="Times New Roman" w:cs="Times New Roman"/>
              </w:rPr>
              <w:t>Mujtama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Pamekasan</w:t>
            </w:r>
            <w:proofErr w:type="spellEnd"/>
          </w:p>
          <w:p w14:paraId="01E6E55B" w14:textId="1E725B78" w:rsidR="00F232DA" w:rsidRDefault="00186B88">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2" w:history="1">
              <w:r w:rsidR="00264785" w:rsidRPr="005A40C2">
                <w:rPr>
                  <w:rStyle w:val="Hyperlink"/>
                  <w:rFonts w:ascii="Times New Roman" w:eastAsia="Times New Roman" w:hAnsi="Times New Roman" w:cs="Times New Roman"/>
                </w:rPr>
                <w:t>ludfidhofir99@stai-almujtama.ac.id</w:t>
              </w:r>
            </w:hyperlink>
            <w:r>
              <w:rPr>
                <w:rFonts w:ascii="Times New Roman" w:eastAsia="Times New Roman" w:hAnsi="Times New Roman" w:cs="Times New Roman"/>
              </w:rPr>
              <w:t xml:space="preserve"> </w:t>
            </w:r>
          </w:p>
        </w:tc>
      </w:tr>
    </w:tbl>
    <w:p w14:paraId="2AE8BA6E" w14:textId="77777777" w:rsidR="00F232DA" w:rsidRDefault="00186B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 Pt)</w:t>
      </w:r>
    </w:p>
    <w:p w14:paraId="0A923A71" w14:textId="46CA3847" w:rsid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proofErr w:type="spellStart"/>
      <w:r w:rsidRPr="00993EEC">
        <w:rPr>
          <w:rFonts w:ascii="Times New Roman" w:eastAsia="Book Antiqua" w:hAnsi="Times New Roman" w:cs="Times New Roman"/>
          <w:bCs/>
          <w:color w:val="000000"/>
          <w:sz w:val="24"/>
          <w:szCs w:val="24"/>
        </w:rPr>
        <w:t>Profesi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advokat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sebagai</w:t>
      </w:r>
      <w:proofErr w:type="spellEnd"/>
      <w:r w:rsidRPr="00993EEC">
        <w:rPr>
          <w:rFonts w:ascii="Times New Roman" w:eastAsia="Book Antiqua" w:hAnsi="Times New Roman" w:cs="Times New Roman"/>
          <w:bCs/>
          <w:color w:val="000000"/>
          <w:sz w:val="24"/>
          <w:szCs w:val="24"/>
        </w:rPr>
        <w:t xml:space="preserve"> salah </w:t>
      </w:r>
      <w:proofErr w:type="spellStart"/>
      <w:r w:rsidRPr="00993EEC">
        <w:rPr>
          <w:rFonts w:ascii="Times New Roman" w:eastAsia="Book Antiqua" w:hAnsi="Times New Roman" w:cs="Times New Roman"/>
          <w:bCs/>
          <w:color w:val="000000"/>
          <w:sz w:val="24"/>
          <w:szCs w:val="24"/>
        </w:rPr>
        <w:t>satu</w:t>
      </w:r>
      <w:proofErr w:type="spellEnd"/>
      <w:r w:rsidRPr="00993EEC">
        <w:rPr>
          <w:rFonts w:ascii="Times New Roman" w:eastAsia="Book Antiqua" w:hAnsi="Times New Roman" w:cs="Times New Roman"/>
          <w:bCs/>
          <w:color w:val="000000"/>
          <w:sz w:val="24"/>
          <w:szCs w:val="24"/>
        </w:rPr>
        <w:t xml:space="preserve"> pilar </w:t>
      </w:r>
      <w:proofErr w:type="spellStart"/>
      <w:r w:rsidRPr="00993EEC">
        <w:rPr>
          <w:rFonts w:ascii="Times New Roman" w:eastAsia="Book Antiqua" w:hAnsi="Times New Roman" w:cs="Times New Roman"/>
          <w:bCs/>
          <w:color w:val="000000"/>
          <w:sz w:val="24"/>
          <w:szCs w:val="24"/>
        </w:rPr>
        <w:t>utama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sistem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peradilan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memiliki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kedudukan</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independen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menjalankan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tugasnya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sebagai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penegak</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hukum</w:t>
      </w:r>
      <w:proofErr w:type="spellEnd"/>
      <w:r w:rsidRPr="00993EEC">
        <w:rPr>
          <w:rFonts w:ascii="Times New Roman" w:eastAsia="Book Antiqua" w:hAnsi="Times New Roman" w:cs="Times New Roman"/>
          <w:bCs/>
          <w:color w:val="000000"/>
          <w:sz w:val="24"/>
          <w:szCs w:val="24"/>
        </w:rPr>
        <w:t xml:space="preserve"> </w:t>
      </w:r>
      <w:r w:rsidRPr="00993EEC">
        <w:rPr>
          <w:rStyle w:val="FootnoteReference"/>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ADDIN CSL_CITATION {"citationItems":[{"id":"ITEM-1","itemData":{"DOI":"10.47476/assyari.v5i3.2864","abstract":"Advokat merupakan penegak hukum dan sebagai profesi yang bebas, mandiri dan bertanggung jawab dalam menegakkan hukum yang dijamin oleh Undang-undang. Itu berarti bahwa advokat memiliki hak, kewajiban dan tanggung jawab sesuai dengan aturan perundang- undangan advokat. Menurut Undang-Undang Nomor 18 Tahun 2003 tentang Advokat, ditegaskan bahwa, Advokat adalah orang yang berprofesi memberikan jasa hukum baik di dalam maupun di luar Pengadilan. Jasa hukum yang dimaksud adalah jasa yang diberikan advokat berupa memberikan konsultasi hukum, bantuan hukum, menjalankan kuasa, mewakili, mendampingi, membela dan melakukan tindakan hukum lain untuk kepentingan klien","author":[{"dropping-particle":"","family":"Anggraini","given":"Melinna","non-dropping-particle":"","parse-names":false,"suffix":""},{"dropping-particle":"","family":"Sachputri","given":"Mutiara","non-dropping-particle":"","parse-names":false,"suffix":""},{"dropping-particle":"","family":"Lubis","given":"Fauzial","non-dropping-particle":"","parse-names":false,"suffix":""}],"container-title":"As-Syar'i: Jurnal Bimbingan &amp; Konseling Keluarga","id":"ITEM-1","issue":"3","issued":{"date-parts":[["2023"]]},"page":"533-544","title":"Pernanan Advokat Sebagai Penegak Hukum","type":"article-journal","volume":"5"},"locator":"533-544","uris":["http://www.mendeley.com/documents/?uuid=d89e8830-588b-4027-b8be-a8e0153e4942"]}],"mendeley":{"formattedCitation":"[1, pp. 533–544]","plainTextFormattedCitation":"[1, pp. 533–544]","previouslyFormattedCitation":"[1, pp. 533–544]"},"properties":{"noteIndex":0},"schema":"https://github.com/citation-style-language/schema/raw/master/csl-citation.json"}</w:instrText>
      </w:r>
      <w:r w:rsidRPr="00993EEC">
        <w:rPr>
          <w:rStyle w:val="FootnoteReference"/>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noProof/>
          <w:color w:val="000000"/>
          <w:sz w:val="24"/>
          <w:szCs w:val="24"/>
        </w:rPr>
        <w:t>[1, pp. 533–544]</w:t>
      </w:r>
      <w:r w:rsidRPr="00993EEC">
        <w:rPr>
          <w:rStyle w:val="FootnoteReference"/>
          <w:rFonts w:ascii="Times New Roman" w:eastAsia="Book Antiqua" w:hAnsi="Times New Roman" w:cs="Times New Roman"/>
          <w:bCs/>
          <w:color w:val="000000"/>
          <w:sz w:val="24"/>
          <w:szCs w:val="24"/>
        </w:rPr>
        <w:fldChar w:fldCharType="end"/>
      </w:r>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Independensi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bukan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sekadar</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keniscayaan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normatif</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tetapi</w:t>
      </w:r>
      <w:proofErr w:type="spellEnd"/>
      <w:r w:rsidRPr="00993EEC">
        <w:rPr>
          <w:rFonts w:ascii="Times New Roman" w:eastAsia="Book Antiqua" w:hAnsi="Times New Roman" w:cs="Times New Roman"/>
          <w:bCs/>
          <w:color w:val="000000"/>
          <w:sz w:val="24"/>
          <w:szCs w:val="24"/>
        </w:rPr>
        <w:t xml:space="preserve"> juga </w:t>
      </w:r>
      <w:proofErr w:type="spellStart"/>
      <w:r w:rsidRPr="00993EEC">
        <w:rPr>
          <w:rFonts w:ascii="Times New Roman" w:eastAsia="Book Antiqua" w:hAnsi="Times New Roman" w:cs="Times New Roman"/>
          <w:bCs/>
          <w:color w:val="000000"/>
          <w:sz w:val="24"/>
          <w:szCs w:val="24"/>
        </w:rPr>
        <w:t>manifestasi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dari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prinsip</w:t>
      </w:r>
      <w:proofErr w:type="spellEnd"/>
      <w:r w:rsidRPr="00993EEC">
        <w:rPr>
          <w:rFonts w:ascii="Times New Roman" w:eastAsia="Book Antiqua" w:hAnsi="Times New Roman" w:cs="Times New Roman"/>
          <w:bCs/>
          <w:color w:val="000000"/>
          <w:sz w:val="24"/>
          <w:szCs w:val="24"/>
        </w:rPr>
        <w:t xml:space="preserve"> </w:t>
      </w:r>
      <w:r w:rsidRPr="00993EEC">
        <w:rPr>
          <w:rFonts w:ascii="Times New Roman" w:eastAsia="Book Antiqua" w:hAnsi="Times New Roman" w:cs="Times New Roman"/>
          <w:bCs/>
          <w:i/>
          <w:iCs/>
          <w:color w:val="000000"/>
          <w:sz w:val="24"/>
          <w:szCs w:val="24"/>
        </w:rPr>
        <w:t>due process of law</w:t>
      </w:r>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menggaransi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hak</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setiap</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individu</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untuk</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memperoleh</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pembelaan</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adil</w:t>
      </w:r>
      <w:proofErr w:type="spellEnd"/>
      <w:r>
        <w:rPr>
          <w:rFonts w:ascii="Times New Roman" w:eastAsia="Book Antiqua" w:hAnsi="Times New Roman" w:cs="Times New Roman"/>
          <w:bCs/>
          <w:color w:val="000000"/>
          <w:sz w:val="24"/>
          <w:szCs w:val="24"/>
        </w:rPr>
        <w:t xml:space="preserve"> </w:t>
      </w:r>
      <w:r>
        <w:rPr>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ADDIN CSL_CITATION {"citationItems":[{"id":"ITEM-1","itemData":{"DOI":"10.22304/pjih.v4n1.a0","ISSN":"00440094","author":[{"dropping-particle":"","family":"Latipulhayat","given":"Atip","non-dropping-particle":"","parse-names":false,"suffix":""}],"container-title":"PJIH: Padjajaran Jurnal Ilmu Hukum","id":"ITEM-1","issue":"2","issued":{"date-parts":[["2017"]]},"page":"i-iv","title":"Editorial: Due Process of Law","type":"article-journal","volume":"4"},"locator":"i-iv","uris":["http://www.mendeley.com/documents/?uuid=23d33c02-e779-4932-a997-f7c79e2c3a43"]}],"mendeley":{"formattedCitation":"[2, pp. i–iv]","plainTextFormattedCitation":"[2, pp. i–iv]","previouslyFormattedCitation":"[2, pp. i–iv]"},"properties":{"noteIndex":0},"schema":"https://github.com/citation-style-language/schema/raw/master/csl-citation.json"}</w:instrText>
      </w:r>
      <w:r>
        <w:rPr>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bCs/>
          <w:noProof/>
          <w:color w:val="000000"/>
          <w:sz w:val="24"/>
          <w:szCs w:val="24"/>
        </w:rPr>
        <w:t>[2, pp. i–iv]</w:t>
      </w:r>
      <w:r>
        <w:rPr>
          <w:rFonts w:ascii="Times New Roman" w:eastAsia="Book Antiqua" w:hAnsi="Times New Roman" w:cs="Times New Roman"/>
          <w:bCs/>
          <w:color w:val="000000"/>
          <w:sz w:val="24"/>
          <w:szCs w:val="24"/>
        </w:rPr>
        <w:fldChar w:fldCharType="end"/>
      </w:r>
      <w:r w:rsidRPr="00993EEC">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Namun</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dalam</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praktiknya</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relasi</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antara</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advokat</w:t>
      </w:r>
      <w:proofErr w:type="spellEnd"/>
      <w:r w:rsidRPr="00991FA7">
        <w:rPr>
          <w:rFonts w:ascii="Times New Roman" w:eastAsia="Book Antiqua" w:hAnsi="Times New Roman" w:cs="Times New Roman"/>
          <w:bCs/>
          <w:color w:val="000000"/>
          <w:sz w:val="24"/>
          <w:szCs w:val="24"/>
        </w:rPr>
        <w:t xml:space="preserve"> dan </w:t>
      </w:r>
      <w:proofErr w:type="spellStart"/>
      <w:r w:rsidRPr="00991FA7">
        <w:rPr>
          <w:rFonts w:ascii="Times New Roman" w:eastAsia="Book Antiqua" w:hAnsi="Times New Roman" w:cs="Times New Roman"/>
          <w:bCs/>
          <w:color w:val="000000"/>
          <w:sz w:val="24"/>
          <w:szCs w:val="24"/>
        </w:rPr>
        <w:t>institusi</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peradilan</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kerap</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berada</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dalam</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ketegangan</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terutama</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dalam</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konteks</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kontestasi</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yudisial</w:t>
      </w:r>
      <w:proofErr w:type="spellEnd"/>
      <w:r w:rsidRPr="00991FA7">
        <w:rPr>
          <w:rFonts w:ascii="Times New Roman" w:eastAsia="Book Antiqua" w:hAnsi="Times New Roman" w:cs="Times New Roman"/>
          <w:bCs/>
          <w:color w:val="000000"/>
          <w:sz w:val="24"/>
          <w:szCs w:val="24"/>
        </w:rPr>
        <w:t xml:space="preserve"> yang </w:t>
      </w:r>
      <w:proofErr w:type="spellStart"/>
      <w:r w:rsidRPr="00991FA7">
        <w:rPr>
          <w:rFonts w:ascii="Times New Roman" w:eastAsia="Book Antiqua" w:hAnsi="Times New Roman" w:cs="Times New Roman"/>
          <w:bCs/>
          <w:color w:val="000000"/>
          <w:sz w:val="24"/>
          <w:szCs w:val="24"/>
        </w:rPr>
        <w:t>melibatkan</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tindakan</w:t>
      </w:r>
      <w:proofErr w:type="spellEnd"/>
      <w:r w:rsidRPr="00991FA7">
        <w:rPr>
          <w:rFonts w:ascii="Times New Roman" w:eastAsia="Book Antiqua" w:hAnsi="Times New Roman" w:cs="Times New Roman"/>
          <w:bCs/>
          <w:color w:val="000000"/>
          <w:sz w:val="24"/>
          <w:szCs w:val="24"/>
        </w:rPr>
        <w:t xml:space="preserve"> yang </w:t>
      </w:r>
      <w:proofErr w:type="spellStart"/>
      <w:r w:rsidRPr="00991FA7">
        <w:rPr>
          <w:rFonts w:ascii="Times New Roman" w:eastAsia="Book Antiqua" w:hAnsi="Times New Roman" w:cs="Times New Roman"/>
          <w:bCs/>
          <w:color w:val="000000"/>
          <w:sz w:val="24"/>
          <w:szCs w:val="24"/>
        </w:rPr>
        <w:t>dapat</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dikategorikan</w:t>
      </w:r>
      <w:proofErr w:type="spellEnd"/>
      <w:r w:rsidRPr="00991FA7">
        <w:rPr>
          <w:rFonts w:ascii="Times New Roman" w:eastAsia="Book Antiqua" w:hAnsi="Times New Roman" w:cs="Times New Roman"/>
          <w:bCs/>
          <w:color w:val="000000"/>
          <w:sz w:val="24"/>
          <w:szCs w:val="24"/>
        </w:rPr>
        <w:t xml:space="preserve"> </w:t>
      </w:r>
      <w:proofErr w:type="spellStart"/>
      <w:r w:rsidRPr="00991FA7">
        <w:rPr>
          <w:rFonts w:ascii="Times New Roman" w:eastAsia="Book Antiqua" w:hAnsi="Times New Roman" w:cs="Times New Roman"/>
          <w:bCs/>
          <w:color w:val="000000"/>
          <w:sz w:val="24"/>
          <w:szCs w:val="24"/>
        </w:rPr>
        <w:t>sebagai</w:t>
      </w:r>
      <w:proofErr w:type="spellEnd"/>
      <w:r w:rsidRPr="00991FA7">
        <w:rPr>
          <w:rFonts w:ascii="Times New Roman" w:eastAsia="Book Antiqua" w:hAnsi="Times New Roman" w:cs="Times New Roman"/>
          <w:bCs/>
          <w:color w:val="000000"/>
          <w:sz w:val="24"/>
          <w:szCs w:val="24"/>
        </w:rPr>
        <w:t xml:space="preserve"> </w:t>
      </w:r>
      <w:r w:rsidRPr="00991FA7">
        <w:rPr>
          <w:rFonts w:ascii="Times New Roman" w:eastAsia="Book Antiqua" w:hAnsi="Times New Roman" w:cs="Times New Roman"/>
          <w:bCs/>
          <w:i/>
          <w:iCs/>
          <w:color w:val="000000"/>
          <w:sz w:val="24"/>
          <w:szCs w:val="24"/>
        </w:rPr>
        <w:t>contempt of court</w:t>
      </w:r>
      <w:r w:rsidRPr="00991FA7">
        <w:rPr>
          <w:rFonts w:ascii="Times New Roman" w:eastAsia="Book Antiqua" w:hAnsi="Times New Roman" w:cs="Times New Roman"/>
          <w:bCs/>
          <w:color w:val="000000"/>
          <w:sz w:val="24"/>
          <w:szCs w:val="24"/>
        </w:rPr>
        <w:t xml:space="preserve"> </w:t>
      </w:r>
      <w:r>
        <w:rPr>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ADDIN CSL_CITATION {"citationItems":[{"id":"ITEM-1","itemData":{"DOI":"10.55927/eajmr.v2i2.3025","abstract":"In Law Number 1 of 2023 concerning the Criminal Code, especially Article 281, criminal acts against the court process (contempt of court) are punishable by imprisonment for a maximum of 1 year or a fine of up to 10 million rupiah. The actions included in the offense of contempt of court, among others, are aimed at anyone who: Does not comply with a court order or a judge's decision issued for the benefit of the judicial process. Being disrespectful to judges or the trial or attacking the integrity or impartiality of judges in court proceedings; or Unlawfully record, publish directly, or allow for publication anything that can affect the impartial nature of judges in court hearings. The environment of the court body must be able to become a legal institution that is trusted by the public. These events should be viewed from the perspective of the \"consequences\" that events could have had. Some of the public are of the opinion that sometimes courts are not really a place to seek and find justice. This assumption arose because of a number of previous events. For example, there were cases of judges and other court officials who were tried and convicted of accepting bribes. Another incident, there are arrears of cases that are not terminated in accordance with the principle of simple and fast. Therefore, it is important to strengthen public trust. This is to reduce the number of contempt of court and to foster the public's desire to maintain and protect the honor of the court and judges from all forms of harassment.","author":[{"dropping-particle":"","family":"Mulyana","given":"H. Yusep","non-dropping-particle":"","parse-names":false,"suffix":""}],"container-title":"East Asian Journal of Multidisciplinary Research","id":"ITEM-1","issue":"2","issued":{"date-parts":[["2023"]]},"page":"811-822","title":"Actions That Obstacle The Justice Process (Contempt Of Court) in The Criminal Law System in Indonesia","type":"article-journal","volume":"2"},"locator":"811-822","uris":["http://www.mendeley.com/documents/?uuid=2025ade6-014e-4782-bcb3-2451d934f6f0"]}],"mendeley":{"formattedCitation":"[3, pp. 811–822]","plainTextFormattedCitation":"[3, pp. 811–822]","previouslyFormattedCitation":"[3, pp. 811–822]"},"properties":{"noteIndex":0},"schema":"https://github.com/citation-style-language/schema/raw/master/csl-citation.json"}</w:instrText>
      </w:r>
      <w:r>
        <w:rPr>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bCs/>
          <w:noProof/>
          <w:color w:val="000000"/>
          <w:sz w:val="24"/>
          <w:szCs w:val="24"/>
        </w:rPr>
        <w:t>[3, pp. 811–822]</w:t>
      </w:r>
      <w:r>
        <w:rPr>
          <w:rFonts w:ascii="Times New Roman" w:eastAsia="Book Antiqua" w:hAnsi="Times New Roman" w:cs="Times New Roman"/>
          <w:bCs/>
          <w:color w:val="000000"/>
          <w:sz w:val="24"/>
          <w:szCs w:val="24"/>
        </w:rPr>
        <w:fldChar w:fldCharType="end"/>
      </w:r>
      <w:r w:rsidRPr="00993EEC">
        <w:rPr>
          <w:rFonts w:ascii="Times New Roman" w:eastAsia="Book Antiqua" w:hAnsi="Times New Roman" w:cs="Times New Roman"/>
          <w:bCs/>
          <w:color w:val="000000"/>
          <w:sz w:val="24"/>
          <w:szCs w:val="24"/>
        </w:rPr>
        <w:t>.</w:t>
      </w:r>
    </w:p>
    <w:p w14:paraId="26D8B760" w14:textId="77777777" w:rsid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r w:rsidRPr="00B3243B">
        <w:rPr>
          <w:rFonts w:ascii="Times New Roman" w:eastAsia="Book Antiqua" w:hAnsi="Times New Roman" w:cs="Times New Roman"/>
          <w:bCs/>
          <w:color w:val="000000"/>
          <w:sz w:val="24"/>
          <w:szCs w:val="24"/>
        </w:rPr>
        <w:t xml:space="preserve">Salah </w:t>
      </w:r>
      <w:proofErr w:type="spellStart"/>
      <w:r w:rsidRPr="00B3243B">
        <w:rPr>
          <w:rFonts w:ascii="Times New Roman" w:eastAsia="Book Antiqua" w:hAnsi="Times New Roman" w:cs="Times New Roman"/>
          <w:bCs/>
          <w:color w:val="000000"/>
          <w:sz w:val="24"/>
          <w:szCs w:val="24"/>
        </w:rPr>
        <w:t>satu</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kasus</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mencerminkan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ketegangan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ini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adalah</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perkara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nomor</w:t>
      </w:r>
      <w:proofErr w:type="spellEnd"/>
      <w:r w:rsidRPr="00B3243B">
        <w:rPr>
          <w:rFonts w:ascii="Times New Roman" w:eastAsia="Book Antiqua" w:hAnsi="Times New Roman" w:cs="Times New Roman"/>
          <w:bCs/>
          <w:color w:val="000000"/>
          <w:sz w:val="24"/>
          <w:szCs w:val="24"/>
        </w:rPr>
        <w:t xml:space="preserve"> 1057/</w:t>
      </w:r>
      <w:proofErr w:type="spellStart"/>
      <w:r w:rsidRPr="00B3243B">
        <w:rPr>
          <w:rFonts w:ascii="Times New Roman" w:eastAsia="Book Antiqua" w:hAnsi="Times New Roman" w:cs="Times New Roman"/>
          <w:bCs/>
          <w:color w:val="000000"/>
          <w:sz w:val="24"/>
          <w:szCs w:val="24"/>
        </w:rPr>
        <w:t>Pid.B</w:t>
      </w:r>
      <w:proofErr w:type="spellEnd"/>
      <w:r w:rsidRPr="00B3243B">
        <w:rPr>
          <w:rFonts w:ascii="Times New Roman" w:eastAsia="Book Antiqua" w:hAnsi="Times New Roman" w:cs="Times New Roman"/>
          <w:bCs/>
          <w:color w:val="000000"/>
          <w:sz w:val="24"/>
          <w:szCs w:val="24"/>
        </w:rPr>
        <w:t>/2024/</w:t>
      </w:r>
      <w:proofErr w:type="spellStart"/>
      <w:proofErr w:type="gramStart"/>
      <w:r w:rsidRPr="00B3243B">
        <w:rPr>
          <w:rFonts w:ascii="Times New Roman" w:eastAsia="Book Antiqua" w:hAnsi="Times New Roman" w:cs="Times New Roman"/>
          <w:bCs/>
          <w:color w:val="000000"/>
          <w:sz w:val="24"/>
          <w:szCs w:val="24"/>
        </w:rPr>
        <w:t>PN.Jkt.Utr</w:t>
      </w:r>
      <w:proofErr w:type="spellEnd"/>
      <w:proofErr w:type="gramEnd"/>
      <w:r w:rsidRPr="00B3243B">
        <w:rPr>
          <w:rFonts w:ascii="Times New Roman" w:eastAsia="Book Antiqua" w:hAnsi="Times New Roman" w:cs="Times New Roman"/>
          <w:bCs/>
          <w:color w:val="000000"/>
          <w:sz w:val="24"/>
          <w:szCs w:val="24"/>
        </w:rPr>
        <w:t xml:space="preserve">. di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Negeri Jakarta Utara, yang </w:t>
      </w:r>
      <w:proofErr w:type="spellStart"/>
      <w:r w:rsidRPr="00B3243B">
        <w:rPr>
          <w:rFonts w:ascii="Times New Roman" w:eastAsia="Book Antiqua" w:hAnsi="Times New Roman" w:cs="Times New Roman"/>
          <w:bCs/>
          <w:color w:val="000000"/>
          <w:sz w:val="24"/>
          <w:szCs w:val="24"/>
        </w:rPr>
        <w:t>melibatkan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Firdaus </w:t>
      </w:r>
      <w:proofErr w:type="spellStart"/>
      <w:r w:rsidRPr="00B3243B">
        <w:rPr>
          <w:rFonts w:ascii="Times New Roman" w:eastAsia="Book Antiqua" w:hAnsi="Times New Roman" w:cs="Times New Roman"/>
          <w:bCs/>
          <w:color w:val="000000"/>
          <w:sz w:val="24"/>
          <w:szCs w:val="24"/>
        </w:rPr>
        <w:t>Oiwobo</w:t>
      </w:r>
      <w:proofErr w:type="spellEnd"/>
      <w:r w:rsidRPr="00B3243B">
        <w:rPr>
          <w:rFonts w:ascii="Times New Roman" w:eastAsia="Book Antiqua" w:hAnsi="Times New Roman" w:cs="Times New Roman"/>
          <w:bCs/>
          <w:color w:val="000000"/>
          <w:sz w:val="24"/>
          <w:szCs w:val="24"/>
        </w:rPr>
        <w:t xml:space="preserve">, S.H., dan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Razman</w:t>
      </w:r>
      <w:proofErr w:type="spellEnd"/>
      <w:r w:rsidRPr="00B3243B">
        <w:rPr>
          <w:rFonts w:ascii="Times New Roman" w:eastAsia="Book Antiqua" w:hAnsi="Times New Roman" w:cs="Times New Roman"/>
          <w:bCs/>
          <w:color w:val="000000"/>
          <w:sz w:val="24"/>
          <w:szCs w:val="24"/>
        </w:rPr>
        <w:t xml:space="preserve"> Arif Nasution, S.H. </w:t>
      </w:r>
      <w:proofErr w:type="spellStart"/>
      <w:r w:rsidRPr="00B3243B">
        <w:rPr>
          <w:rFonts w:ascii="Times New Roman" w:eastAsia="Book Antiqua" w:hAnsi="Times New Roman" w:cs="Times New Roman"/>
          <w:bCs/>
          <w:color w:val="000000"/>
          <w:sz w:val="24"/>
          <w:szCs w:val="24"/>
        </w:rPr>
        <w:t>Sidang</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berlangsung</w:t>
      </w:r>
      <w:proofErr w:type="spellEnd"/>
      <w:r w:rsidRPr="00B3243B">
        <w:rPr>
          <w:rFonts w:ascii="Times New Roman" w:eastAsia="Book Antiqua" w:hAnsi="Times New Roman" w:cs="Times New Roman"/>
          <w:bCs/>
          <w:color w:val="000000"/>
          <w:sz w:val="24"/>
          <w:szCs w:val="24"/>
        </w:rPr>
        <w:t xml:space="preserve"> pada 6 </w:t>
      </w:r>
      <w:proofErr w:type="spellStart"/>
      <w:r w:rsidRPr="00B3243B">
        <w:rPr>
          <w:rFonts w:ascii="Times New Roman" w:eastAsia="Book Antiqua" w:hAnsi="Times New Roman" w:cs="Times New Roman"/>
          <w:bCs/>
          <w:color w:val="000000"/>
          <w:sz w:val="24"/>
          <w:szCs w:val="24"/>
        </w:rPr>
        <w:t>Februari</w:t>
      </w:r>
      <w:proofErr w:type="spellEnd"/>
      <w:r w:rsidRPr="00B3243B">
        <w:rPr>
          <w:rFonts w:ascii="Times New Roman" w:eastAsia="Book Antiqua" w:hAnsi="Times New Roman" w:cs="Times New Roman"/>
          <w:bCs/>
          <w:color w:val="000000"/>
          <w:sz w:val="24"/>
          <w:szCs w:val="24"/>
        </w:rPr>
        <w:t xml:space="preserve"> 2025 </w:t>
      </w:r>
      <w:proofErr w:type="spellStart"/>
      <w:r w:rsidRPr="00B3243B">
        <w:rPr>
          <w:rFonts w:ascii="Times New Roman" w:eastAsia="Book Antiqua" w:hAnsi="Times New Roman" w:cs="Times New Roman"/>
          <w:bCs/>
          <w:color w:val="000000"/>
          <w:sz w:val="24"/>
          <w:szCs w:val="24"/>
        </w:rPr>
        <w:t>ini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mendapat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sorotan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luas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dari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berbagai</w:t>
      </w:r>
      <w:proofErr w:type="spellEnd"/>
      <w:r w:rsidRPr="00B3243B">
        <w:rPr>
          <w:rFonts w:ascii="Times New Roman" w:eastAsia="Book Antiqua" w:hAnsi="Times New Roman" w:cs="Times New Roman"/>
          <w:bCs/>
          <w:color w:val="000000"/>
          <w:sz w:val="24"/>
          <w:szCs w:val="24"/>
        </w:rPr>
        <w:t xml:space="preserve"> media </w:t>
      </w:r>
      <w:proofErr w:type="spellStart"/>
      <w:r w:rsidRPr="00B3243B">
        <w:rPr>
          <w:rFonts w:ascii="Times New Roman" w:eastAsia="Book Antiqua" w:hAnsi="Times New Roman" w:cs="Times New Roman"/>
          <w:bCs/>
          <w:color w:val="000000"/>
          <w:sz w:val="24"/>
          <w:szCs w:val="24"/>
        </w:rPr>
        <w:t>karena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memunculkan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perdebatan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tentang</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batas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kebebasan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dalam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ruang</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persidangan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Kedua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dituding</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menimbulkan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kegaduhan</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dianggap</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mencederai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marwah</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peradilan</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berujung</w:t>
      </w:r>
      <w:proofErr w:type="spellEnd"/>
      <w:r w:rsidRPr="00B3243B">
        <w:rPr>
          <w:rFonts w:ascii="Times New Roman" w:eastAsia="Book Antiqua" w:hAnsi="Times New Roman" w:cs="Times New Roman"/>
          <w:bCs/>
          <w:color w:val="000000"/>
          <w:sz w:val="24"/>
          <w:szCs w:val="24"/>
        </w:rPr>
        <w:t xml:space="preserve"> pada </w:t>
      </w:r>
      <w:proofErr w:type="spellStart"/>
      <w:r w:rsidRPr="00B3243B">
        <w:rPr>
          <w:rFonts w:ascii="Times New Roman" w:eastAsia="Book Antiqua" w:hAnsi="Times New Roman" w:cs="Times New Roman"/>
          <w:bCs/>
          <w:color w:val="000000"/>
          <w:sz w:val="24"/>
          <w:szCs w:val="24"/>
        </w:rPr>
        <w:t>tindakan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pembekuan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berita</w:t>
      </w:r>
      <w:proofErr w:type="spellEnd"/>
      <w:r w:rsidRPr="00B3243B">
        <w:rPr>
          <w:rFonts w:ascii="Times New Roman" w:eastAsia="Book Antiqua" w:hAnsi="Times New Roman" w:cs="Times New Roman"/>
          <w:bCs/>
          <w:color w:val="000000"/>
          <w:sz w:val="24"/>
          <w:szCs w:val="24"/>
        </w:rPr>
        <w:t xml:space="preserve"> acara </w:t>
      </w:r>
      <w:proofErr w:type="spellStart"/>
      <w:r w:rsidRPr="00B3243B">
        <w:rPr>
          <w:rFonts w:ascii="Times New Roman" w:eastAsia="Book Antiqua" w:hAnsi="Times New Roman" w:cs="Times New Roman"/>
          <w:bCs/>
          <w:color w:val="000000"/>
          <w:sz w:val="24"/>
          <w:szCs w:val="24"/>
        </w:rPr>
        <w:t>sumpah</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oleh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Tinggi Banten </w:t>
      </w:r>
      <w:proofErr w:type="spellStart"/>
      <w:r w:rsidRPr="00B3243B">
        <w:rPr>
          <w:rFonts w:ascii="Times New Roman" w:eastAsia="Book Antiqua" w:hAnsi="Times New Roman" w:cs="Times New Roman"/>
          <w:bCs/>
          <w:color w:val="000000"/>
          <w:sz w:val="24"/>
          <w:szCs w:val="24"/>
        </w:rPr>
        <w:t>dengan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nomor</w:t>
      </w:r>
      <w:proofErr w:type="spellEnd"/>
      <w:r w:rsidRPr="00B3243B">
        <w:rPr>
          <w:rFonts w:ascii="Times New Roman" w:eastAsia="Book Antiqua" w:hAnsi="Times New Roman" w:cs="Times New Roman"/>
          <w:bCs/>
          <w:color w:val="000000"/>
          <w:sz w:val="24"/>
          <w:szCs w:val="24"/>
        </w:rPr>
        <w:t xml:space="preserve">: 52/KPT.W29/HM.1.1.1/II/2025 </w:t>
      </w:r>
      <w:proofErr w:type="spellStart"/>
      <w:r w:rsidRPr="00B3243B">
        <w:rPr>
          <w:rFonts w:ascii="Times New Roman" w:eastAsia="Book Antiqua" w:hAnsi="Times New Roman" w:cs="Times New Roman"/>
          <w:bCs/>
          <w:color w:val="000000"/>
          <w:sz w:val="24"/>
          <w:szCs w:val="24"/>
        </w:rPr>
        <w:t>terhadap</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a/n Firdaus </w:t>
      </w:r>
      <w:proofErr w:type="spellStart"/>
      <w:r w:rsidRPr="00B3243B">
        <w:rPr>
          <w:rFonts w:ascii="Times New Roman" w:eastAsia="Book Antiqua" w:hAnsi="Times New Roman" w:cs="Times New Roman"/>
          <w:bCs/>
          <w:color w:val="000000"/>
          <w:sz w:val="24"/>
          <w:szCs w:val="24"/>
        </w:rPr>
        <w:t>Oiwobo</w:t>
      </w:r>
      <w:proofErr w:type="spellEnd"/>
      <w:r w:rsidRPr="00B3243B">
        <w:rPr>
          <w:rFonts w:ascii="Times New Roman" w:eastAsia="Book Antiqua" w:hAnsi="Times New Roman" w:cs="Times New Roman"/>
          <w:bCs/>
          <w:color w:val="000000"/>
          <w:sz w:val="24"/>
          <w:szCs w:val="24"/>
        </w:rPr>
        <w:t xml:space="preserve">, S.H. dan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Tinggi Ambon </w:t>
      </w:r>
      <w:proofErr w:type="spellStart"/>
      <w:r w:rsidRPr="00B3243B">
        <w:rPr>
          <w:rFonts w:ascii="Times New Roman" w:eastAsia="Book Antiqua" w:hAnsi="Times New Roman" w:cs="Times New Roman"/>
          <w:bCs/>
          <w:color w:val="000000"/>
          <w:sz w:val="24"/>
          <w:szCs w:val="24"/>
        </w:rPr>
        <w:t>dengan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nomor</w:t>
      </w:r>
      <w:proofErr w:type="spellEnd"/>
      <w:r w:rsidRPr="00B3243B">
        <w:rPr>
          <w:rFonts w:ascii="Times New Roman" w:eastAsia="Book Antiqua" w:hAnsi="Times New Roman" w:cs="Times New Roman"/>
          <w:bCs/>
          <w:color w:val="000000"/>
          <w:sz w:val="24"/>
          <w:szCs w:val="24"/>
        </w:rPr>
        <w:t xml:space="preserve">: 44/KPT.W27/HM.1.1.1/II/2025 </w:t>
      </w:r>
      <w:proofErr w:type="spellStart"/>
      <w:r w:rsidRPr="00B3243B">
        <w:rPr>
          <w:rFonts w:ascii="Times New Roman" w:eastAsia="Book Antiqua" w:hAnsi="Times New Roman" w:cs="Times New Roman"/>
          <w:bCs/>
          <w:color w:val="000000"/>
          <w:sz w:val="24"/>
          <w:szCs w:val="24"/>
        </w:rPr>
        <w:t>terhadap</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a/n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Razman</w:t>
      </w:r>
      <w:proofErr w:type="spellEnd"/>
      <w:r w:rsidRPr="00B3243B">
        <w:rPr>
          <w:rFonts w:ascii="Times New Roman" w:eastAsia="Book Antiqua" w:hAnsi="Times New Roman" w:cs="Times New Roman"/>
          <w:bCs/>
          <w:color w:val="000000"/>
          <w:sz w:val="24"/>
          <w:szCs w:val="24"/>
        </w:rPr>
        <w:t xml:space="preserve"> Arif Nasution, S.H.</w:t>
      </w:r>
      <w:r>
        <w:rPr>
          <w:rFonts w:ascii="Times New Roman" w:eastAsia="Book Antiqua" w:hAnsi="Times New Roman" w:cs="Times New Roman"/>
          <w:bCs/>
          <w:color w:val="000000"/>
          <w:sz w:val="24"/>
          <w:szCs w:val="24"/>
        </w:rPr>
        <w:t xml:space="preserve"> </w:t>
      </w:r>
      <w:r w:rsidRPr="00B3243B">
        <w:rPr>
          <w:rFonts w:ascii="Times New Roman" w:eastAsia="Book Antiqua" w:hAnsi="Times New Roman" w:cs="Times New Roman"/>
          <w:bCs/>
          <w:color w:val="000000"/>
          <w:sz w:val="24"/>
          <w:szCs w:val="24"/>
        </w:rPr>
        <w:t xml:space="preserve">Langkah </w:t>
      </w:r>
      <w:proofErr w:type="spellStart"/>
      <w:r w:rsidRPr="00B3243B">
        <w:rPr>
          <w:rFonts w:ascii="Times New Roman" w:eastAsia="Book Antiqua" w:hAnsi="Times New Roman" w:cs="Times New Roman"/>
          <w:bCs/>
          <w:color w:val="000000"/>
          <w:sz w:val="24"/>
          <w:szCs w:val="24"/>
        </w:rPr>
        <w:t>ini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memicu</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kontroversi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sebab</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selain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berdampak</w:t>
      </w:r>
      <w:proofErr w:type="spellEnd"/>
      <w:r w:rsidRPr="00B3243B">
        <w:rPr>
          <w:rFonts w:ascii="Times New Roman" w:eastAsia="Book Antiqua" w:hAnsi="Times New Roman" w:cs="Times New Roman"/>
          <w:bCs/>
          <w:color w:val="000000"/>
          <w:sz w:val="24"/>
          <w:szCs w:val="24"/>
        </w:rPr>
        <w:t xml:space="preserve"> pada </w:t>
      </w:r>
      <w:proofErr w:type="spellStart"/>
      <w:r w:rsidRPr="00B3243B">
        <w:rPr>
          <w:rFonts w:ascii="Times New Roman" w:eastAsia="Book Antiqua" w:hAnsi="Times New Roman" w:cs="Times New Roman"/>
          <w:bCs/>
          <w:color w:val="000000"/>
          <w:sz w:val="24"/>
          <w:szCs w:val="24"/>
        </w:rPr>
        <w:t>individu</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bersangkutan</w:t>
      </w:r>
      <w:proofErr w:type="spellEnd"/>
      <w:r w:rsidRPr="00B3243B">
        <w:rPr>
          <w:rFonts w:ascii="Times New Roman" w:eastAsia="Book Antiqua" w:hAnsi="Times New Roman" w:cs="Times New Roman"/>
          <w:bCs/>
          <w:color w:val="000000"/>
          <w:sz w:val="24"/>
          <w:szCs w:val="24"/>
        </w:rPr>
        <w:t xml:space="preserve">, juga </w:t>
      </w:r>
      <w:proofErr w:type="spellStart"/>
      <w:r w:rsidRPr="00B3243B">
        <w:rPr>
          <w:rFonts w:ascii="Times New Roman" w:eastAsia="Book Antiqua" w:hAnsi="Times New Roman" w:cs="Times New Roman"/>
          <w:bCs/>
          <w:color w:val="000000"/>
          <w:sz w:val="24"/>
          <w:szCs w:val="24"/>
        </w:rPr>
        <w:t>mengundang</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pertanyaan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kritis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tentang</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batas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kewenangan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dalam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menegakkan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etik</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yudisial</w:t>
      </w:r>
      <w:proofErr w:type="spellEnd"/>
      <w:r w:rsidRPr="00B3243B">
        <w:rPr>
          <w:rFonts w:ascii="Times New Roman" w:eastAsia="Book Antiqua" w:hAnsi="Times New Roman" w:cs="Times New Roman"/>
          <w:bCs/>
          <w:color w:val="000000"/>
          <w:sz w:val="24"/>
          <w:szCs w:val="24"/>
        </w:rPr>
        <w:t xml:space="preserve"> dan </w:t>
      </w:r>
      <w:proofErr w:type="spellStart"/>
      <w:r w:rsidRPr="00B3243B">
        <w:rPr>
          <w:rFonts w:ascii="Times New Roman" w:eastAsia="Book Antiqua" w:hAnsi="Times New Roman" w:cs="Times New Roman"/>
          <w:bCs/>
          <w:color w:val="000000"/>
          <w:sz w:val="24"/>
          <w:szCs w:val="24"/>
        </w:rPr>
        <w:t>implikasinya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terhadap</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prinsip</w:t>
      </w:r>
      <w:proofErr w:type="spellEnd"/>
      <w:r w:rsidRPr="00B3243B">
        <w:rPr>
          <w:rFonts w:ascii="Times New Roman" w:eastAsia="Book Antiqua" w:hAnsi="Times New Roman" w:cs="Times New Roman"/>
          <w:bCs/>
          <w:color w:val="000000"/>
          <w:sz w:val="24"/>
          <w:szCs w:val="24"/>
        </w:rPr>
        <w:t xml:space="preserve"> </w:t>
      </w:r>
      <w:r w:rsidRPr="00B3243B">
        <w:rPr>
          <w:rFonts w:ascii="Times New Roman" w:eastAsia="Book Antiqua" w:hAnsi="Times New Roman" w:cs="Times New Roman"/>
          <w:bCs/>
          <w:i/>
          <w:iCs/>
          <w:color w:val="000000"/>
          <w:sz w:val="24"/>
          <w:szCs w:val="24"/>
        </w:rPr>
        <w:t>fair trial</w:t>
      </w:r>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serta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independensi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profesi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w:t>
      </w:r>
    </w:p>
    <w:p w14:paraId="62FFABCC" w14:textId="574C638A" w:rsidR="00257986" w:rsidRPr="00993EEC"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proofErr w:type="spellStart"/>
      <w:r w:rsidRPr="00B3243B">
        <w:rPr>
          <w:rFonts w:ascii="Times New Roman" w:eastAsia="Book Antiqua" w:hAnsi="Times New Roman" w:cs="Times New Roman"/>
          <w:bCs/>
          <w:color w:val="000000"/>
          <w:sz w:val="24"/>
          <w:szCs w:val="24"/>
        </w:rPr>
        <w:t>Secara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akademis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fenomena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ini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membuka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perdebatan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mendalam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mengenai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dialektika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hukum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dalam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relasi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antara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dan </w:t>
      </w:r>
      <w:proofErr w:type="spellStart"/>
      <w:r w:rsidRPr="00B3243B">
        <w:rPr>
          <w:rFonts w:ascii="Times New Roman" w:eastAsia="Book Antiqua" w:hAnsi="Times New Roman" w:cs="Times New Roman"/>
          <w:bCs/>
          <w:color w:val="000000"/>
          <w:sz w:val="24"/>
          <w:szCs w:val="24"/>
        </w:rPr>
        <w:t>supremasi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hukum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Pembekuan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sumpah</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bukan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sekadar</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tindakan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administratif</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melainkan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memiliki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implikasi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yuridis</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luas</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terutama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dalam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menentukan</w:t>
      </w:r>
      <w:proofErr w:type="spellEnd"/>
      <w:r w:rsidRPr="00B3243B">
        <w:rPr>
          <w:rFonts w:ascii="Times New Roman" w:eastAsia="Book Antiqua" w:hAnsi="Times New Roman" w:cs="Times New Roman"/>
          <w:bCs/>
          <w:color w:val="000000"/>
          <w:sz w:val="24"/>
          <w:szCs w:val="24"/>
        </w:rPr>
        <w:t xml:space="preserve"> parameter </w:t>
      </w:r>
      <w:proofErr w:type="spellStart"/>
      <w:r w:rsidRPr="00B3243B">
        <w:rPr>
          <w:rFonts w:ascii="Times New Roman" w:eastAsia="Book Antiqua" w:hAnsi="Times New Roman" w:cs="Times New Roman"/>
          <w:bCs/>
          <w:color w:val="000000"/>
          <w:sz w:val="24"/>
          <w:szCs w:val="24"/>
        </w:rPr>
        <w:t>objektif</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tindakan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advokat</w:t>
      </w:r>
      <w:proofErr w:type="spellEnd"/>
      <w:r w:rsidRPr="00B3243B">
        <w:rPr>
          <w:rFonts w:ascii="Times New Roman" w:eastAsia="Book Antiqua" w:hAnsi="Times New Roman" w:cs="Times New Roman"/>
          <w:bCs/>
          <w:color w:val="000000"/>
          <w:sz w:val="24"/>
          <w:szCs w:val="24"/>
        </w:rPr>
        <w:t xml:space="preserve"> yang </w:t>
      </w:r>
      <w:proofErr w:type="spellStart"/>
      <w:r w:rsidRPr="00B3243B">
        <w:rPr>
          <w:rFonts w:ascii="Times New Roman" w:eastAsia="Book Antiqua" w:hAnsi="Times New Roman" w:cs="Times New Roman"/>
          <w:bCs/>
          <w:color w:val="000000"/>
          <w:sz w:val="24"/>
          <w:szCs w:val="24"/>
        </w:rPr>
        <w:t>dapat</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dikategorikan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sebagai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pelanggaran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etik</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atau</w:t>
      </w:r>
      <w:proofErr w:type="spellEnd"/>
      <w:r w:rsidRPr="00B3243B">
        <w:rPr>
          <w:rFonts w:ascii="Times New Roman" w:eastAsia="Book Antiqua" w:hAnsi="Times New Roman" w:cs="Times New Roman"/>
          <w:bCs/>
          <w:color w:val="000000"/>
          <w:sz w:val="24"/>
          <w:szCs w:val="24"/>
        </w:rPr>
        <w:t xml:space="preserve"> </w:t>
      </w:r>
      <w:r w:rsidRPr="0016123B">
        <w:rPr>
          <w:rFonts w:ascii="Times New Roman" w:eastAsia="Book Antiqua" w:hAnsi="Times New Roman" w:cs="Times New Roman"/>
          <w:bCs/>
          <w:i/>
          <w:iCs/>
          <w:color w:val="000000"/>
          <w:sz w:val="24"/>
          <w:szCs w:val="24"/>
        </w:rPr>
        <w:t>contempt of court</w:t>
      </w:r>
      <w:r w:rsidRPr="00B3243B">
        <w:rPr>
          <w:rFonts w:ascii="Times New Roman" w:eastAsia="Book Antiqua" w:hAnsi="Times New Roman" w:cs="Times New Roman"/>
          <w:bCs/>
          <w:color w:val="000000"/>
          <w:sz w:val="24"/>
          <w:szCs w:val="24"/>
        </w:rPr>
        <w:t>. Studi-</w:t>
      </w:r>
      <w:proofErr w:type="spellStart"/>
      <w:r w:rsidRPr="00B3243B">
        <w:rPr>
          <w:rFonts w:ascii="Times New Roman" w:eastAsia="Book Antiqua" w:hAnsi="Times New Roman" w:cs="Times New Roman"/>
          <w:bCs/>
          <w:color w:val="000000"/>
          <w:sz w:val="24"/>
          <w:szCs w:val="24"/>
        </w:rPr>
        <w:t>studi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sebelumnya</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lebih</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banyak</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menyoroti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aspek</w:t>
      </w:r>
      <w:proofErr w:type="spellEnd"/>
      <w:r w:rsidRPr="00B3243B">
        <w:rPr>
          <w:rFonts w:ascii="Times New Roman" w:eastAsia="Book Antiqua" w:hAnsi="Times New Roman" w:cs="Times New Roman"/>
          <w:bCs/>
          <w:color w:val="000000"/>
          <w:sz w:val="24"/>
          <w:szCs w:val="24"/>
        </w:rPr>
        <w:t xml:space="preserve"> contempt of court </w:t>
      </w:r>
      <w:proofErr w:type="spellStart"/>
      <w:r w:rsidRPr="00B3243B">
        <w:rPr>
          <w:rFonts w:ascii="Times New Roman" w:eastAsia="Book Antiqua" w:hAnsi="Times New Roman" w:cs="Times New Roman"/>
          <w:bCs/>
          <w:color w:val="000000"/>
          <w:sz w:val="24"/>
          <w:szCs w:val="24"/>
        </w:rPr>
        <w:t>sebagai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bentuk</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pelecehan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terhadap</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pengadilan</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dari</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perspektif</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hukum</w:t>
      </w:r>
      <w:proofErr w:type="spellEnd"/>
      <w:r w:rsidRPr="00B3243B">
        <w:rPr>
          <w:rFonts w:ascii="Times New Roman" w:eastAsia="Book Antiqua" w:hAnsi="Times New Roman" w:cs="Times New Roman"/>
          <w:bCs/>
          <w:color w:val="000000"/>
          <w:sz w:val="24"/>
          <w:szCs w:val="24"/>
        </w:rPr>
        <w:t xml:space="preserve"> </w:t>
      </w:r>
      <w:proofErr w:type="spellStart"/>
      <w:r w:rsidRPr="00B3243B">
        <w:rPr>
          <w:rFonts w:ascii="Times New Roman" w:eastAsia="Book Antiqua" w:hAnsi="Times New Roman" w:cs="Times New Roman"/>
          <w:bCs/>
          <w:color w:val="000000"/>
          <w:sz w:val="24"/>
          <w:szCs w:val="24"/>
        </w:rPr>
        <w:t>pidana</w:t>
      </w:r>
      <w:proofErr w:type="spellEnd"/>
      <w:r>
        <w:rPr>
          <w:rFonts w:ascii="Times New Roman" w:eastAsia="Book Antiqua" w:hAnsi="Times New Roman" w:cs="Times New Roman"/>
          <w:bCs/>
          <w:color w:val="000000"/>
          <w:sz w:val="24"/>
          <w:szCs w:val="24"/>
        </w:rPr>
        <w:t xml:space="preserve"> </w:t>
      </w:r>
      <w:r>
        <w:rPr>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ADDIN CSL_CITATION {"citationItems":[{"id":"ITEM-1","itemData":{"DOI":"10.55927/eajmr.v2i2.3025","abstract":"In Law Number 1 of 2023 concerning the Criminal Code, especially Article 281, criminal acts against the court process (contempt of court) are punishable by imprisonment for a maximum of 1 year or a fine of up to 10 million rupiah. The actions included in the offense of contempt of court, among others, are aimed at anyone who: Does not comply with a court order or a judge's decision issued for the benefit of the judicial process. Being disrespectful to judges or the trial or attacking the integrity or impartiality of judges in court proceedings; or Unlawfully record, publish directly, or allow for publication anything that can affect the impartial nature of judges in court hearings. The environment of the court body must be able to become a legal institution that is trusted by the public. These events should be viewed from the perspective of the \"consequences\" that events could have had. Some of the public are of the opinion that sometimes courts are not really a place to seek and find justice. This assumption arose because of a number of previous events. For example, there were cases of judges and other court officials who were tried and convicted of accepting bribes. Another incident, there are arrears of cases that are not terminated in accordance with the principle of simple and fast. Therefore, it is important to strengthen public trust. This is to reduce the number of contempt of court and to foster the public's desire to maintain and protect the honor of the court and judges from all forms of harassment.","author":[{"dropping-particle":"","family":"Mulyana","given":"H. Yusep","non-dropping-particle":"","parse-names":false,"suffix":""}],"container-title":"East Asian Journal of Multidisciplinary Research","id":"ITEM-1","issue":"2","issued":{"date-parts":[["2023"]]},"page":"811-822","title":"Actions That Obstacle The Justice Process (Contempt Of Court) in The Criminal Law System in Indonesia","type":"article-journal","volume":"2"},"locator":"811-822","uris":["http://www.mendeley.com/documents/?uuid=2025ade6-014e-4782-bcb3-2451d934f6f0"]},{"id":"ITEM-2","itemData":{"author":[{"dropping-particle":"","family":"Rahman","given":"Sufirman","non-dropping-particle":"","parse-names":false,"suffix":""},{"dropping-particle":"","family":"Akhirno","given":"Sutio Jumagi","non-dropping-particle":"","parse-names":false,"suffix":""},{"dropping-particle":"","family":"Nawi","given":"Syahruddin","non-dropping-particle":"","parse-names":false,"suffix":""},{"dropping-particle":"","family":"Nasrullah","given":"Nasrullah","non-dropping-particle":"","parse-names":false,"suffix":""}],"container-title":"Russian Law Journal","id":"ITEM-2","issue":"5","issued":{"date-parts":[["2023"]]},"page":"1134-1145","title":"CONTEMPT OF COURT CRIMINAL IN JUSTICE IMPLEMENTATION IN INDONESIA","type":"article-journal","volume":"XI"},"locator":"1134-1145","uris":["http://www.mendeley.com/documents/?uuid=94e8d02b-b4c2-4a28-8e41-67412fd1a906"]},{"id":"ITEM-3","itemData":{"DOI":"10.14710/dlj.2017.19543","abstract":"… Metode penelitian yuridis normatif digunakan untuk menjawab permasalahan ini. Pendekatan untuk mengkaji permasalahan ini … Metode analisis data yang digunakan dalam penelitian ini adalah metode kualitatif. Metode analisis kualitatif adalah tata cara peneliti …","author":[{"dropping-particle":"","family":"Nugroho","given":"Sutanto","non-dropping-particle":"","parse-names":false,"suffix":""},{"dropping-particle":"","family":"Sularto","given":"R. B.","non-dropping-particle":"","parse-names":false,"suffix":""},{"dropping-particle":"","family":"Wisaksono","given":"Budhi","non-dropping-particle":"","parse-names":false,"suffix":""}],"container-title":"Diponegoro Law Journal","id":"ITEM-3","issue":"2","issued":{"date-parts":[["2017"]]},"page":"1-16","title":"Pengaturan Tindak Pidana Contempt Of Court Berdasarkan Sistem Hukum Pidana Indonesia","type":"article-journal","volume":"6"},"locator":"1-16","uris":["http://www.mendeley.com/documents/?uuid=804e3447-82f9-4507-9200-17325b71b003"]},{"id":"ITEM-4","itemData":{"DOI":"10.20884/1.jdh.2020.20.1.2731","ISSN":"1410-0797","abstract":"The independent, transparent, and accountable judicial power is a conditio sine quanon for a democratic nation of law. Judicial power is executed through the judiciary to enforce the law and justice. Case trading, controversial decisions disrupting the sense of justice, are the causes of declining judiciary authority. This study uses a normative legal research method with the existing legislation approach as a positive legal norm. The cause of the contempt of court in Indonesia is due to internal and external factors. The internal factors are those including the powerless independence and impartiality of judges, declining authority, decision quality, and integrity. The latter are the community’s attitudes such as selfish, permissive, unable to control themselves, and disrespectl to the judiciary. The solution is the importance of improving the contempt of court law, restoring all decent functions of the judiciary, and educating the community to have legal awareness.Keywords: contempt of court; legal awareness; judicial authority.","author":[{"dropping-particle":"","family":"Sopyan","given":"Yayan","non-dropping-particle":"","parse-names":false,"suffix":""}],"container-title":"Jurnal Dinamika Hukum","id":"ITEM-4","issue":"1","issued":{"date-parts":[["2020"]]},"page":"82-100","title":"Contempt of Court in Indonesia: The Meaning, Root of Problems and Its Alternative Solutions","type":"article-journal","volume":"20"},"locator":"82-100","uris":["http://www.mendeley.com/documents/?uuid=5cbca14f-b308-42ef-8fb7-cef640cc73d7"]},{"id":"ITEM-5","itemData":{"DOI":"10.30868/am.v11i01.4095","ISSN":"2581-2556","abstract":"In Indonesia, the public's perception of the judiciary is increasingly fleeting. The judiciary is no longer perceived by the public as a place to seek justice in the context of law enforcement, but as an extension of the ruler or power. The problems in this study are: Setting contempt of court in the theory of the Indonesian criminal justice system and Implementation of contempt of court in positive criminal justice system theory and the Criminal Code Bill. This study uses a normative juridical approach, by examining and interpreting theoretical matters about the criminal system theory in the implementation of contempt of court in the theory of the criminal justice system in Indonesia. The results of the study indicate that in the context of the Contempt of Court in Indonesia, the Contempt of Court setting in criminal law in Indonesia has historically been derived from the teachings of the common law family in England. Which aims to protect the judiciary in order to remain good and dignified as an independent institution, independent from the influence of other parties (executive, legislative, internal institutions of the judiciary) or people who want to undermine the honor and authority of the judiciary, and this is can be obtained easily from the provisions of Article 24 of the 1945 Constitution.","author":[{"dropping-particle":"","family":"Wahidy","given":"Reza","non-dropping-particle":"","parse-names":false,"suffix":""}],"container-title":"Al-Mashlahah: Jurnal Hukum Islam dan Pranata Sosial Islam","id":"ITEM-5","issue":"1","issued":{"date-parts":[["2023"]]},"page":"107-126","title":"Al-Mashlahah: Jurnal Hukum Islam dan Pranata Sosial Islam Implementasi Contempt of Court dalam Teori Sistem Hukum Pidana Indonesia","type":"article-journal","volume":"11"},"locator":"107-126","uris":["http://www.mendeley.com/documents/?uuid=972ecedb-ee56-4ed2-8dcc-6b6c186b88bf"]}],"mendeley":{"formattedCitation":"[3, pp. 811–822], [4, pp. 1134–1145], [5, pp. 1–16], [6, pp. 82–100], [7, pp. 107–126]","plainTextFormattedCitation":"[3, pp. 811–822], [4, pp. 1134–1145], [5, pp. 1–16], [6, pp. 82–100], [7, pp. 107–126]","previouslyFormattedCitation":"[3, pp. 811–822], [4, pp. 1134–1145], [5, pp. 1–16], [6, pp. 82–100], [7, pp. 107–126]"},"properties":{"noteIndex":0},"schema":"https://github.com/citation-style-language/schema/raw/master/csl-citation.json"}</w:instrText>
      </w:r>
      <w:r>
        <w:rPr>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bCs/>
          <w:noProof/>
          <w:color w:val="000000"/>
          <w:sz w:val="24"/>
          <w:szCs w:val="24"/>
        </w:rPr>
        <w:t>[3, pp. 811–822], [4, pp. 1134–1145], [5, pp. 1–16], [6, pp. 82–100], [7, pp. 107–126]</w:t>
      </w:r>
      <w:r>
        <w:rPr>
          <w:rFonts w:ascii="Times New Roman" w:eastAsia="Book Antiqua" w:hAnsi="Times New Roman" w:cs="Times New Roman"/>
          <w:bCs/>
          <w:color w:val="000000"/>
          <w:sz w:val="24"/>
          <w:szCs w:val="24"/>
        </w:rPr>
        <w:fldChar w:fldCharType="end"/>
      </w:r>
      <w:r>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tetapi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belum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secara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spesifik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mengulas</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pembekuan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sumpah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sebagai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instrumen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pembatasan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profesi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dinamika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kontestasi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yudisial</w:t>
      </w:r>
      <w:proofErr w:type="spellEnd"/>
      <w:r>
        <w:rPr>
          <w:rFonts w:ascii="Times New Roman" w:eastAsia="Book Antiqua" w:hAnsi="Times New Roman" w:cs="Times New Roman"/>
          <w:bCs/>
          <w:color w:val="000000"/>
          <w:sz w:val="24"/>
          <w:szCs w:val="24"/>
        </w:rPr>
        <w:t>.</w:t>
      </w:r>
    </w:p>
    <w:p w14:paraId="056EADB8" w14:textId="6DD1342A" w:rsid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proofErr w:type="spellStart"/>
      <w:r w:rsidRPr="0016123B">
        <w:rPr>
          <w:rFonts w:ascii="Times New Roman" w:eastAsia="Book Antiqua" w:hAnsi="Times New Roman" w:cs="Times New Roman"/>
          <w:bCs/>
          <w:color w:val="000000"/>
          <w:sz w:val="24"/>
          <w:szCs w:val="24"/>
        </w:rPr>
        <w:t>Kesenjangan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akademik</w:t>
      </w:r>
      <w:proofErr w:type="spellEnd"/>
      <w:r w:rsidRPr="0016123B">
        <w:rPr>
          <w:rFonts w:ascii="Times New Roman" w:eastAsia="Book Antiqua" w:hAnsi="Times New Roman" w:cs="Times New Roman"/>
          <w:bCs/>
          <w:color w:val="000000"/>
          <w:sz w:val="24"/>
          <w:szCs w:val="24"/>
        </w:rPr>
        <w:t xml:space="preserve"> (research gap) </w:t>
      </w:r>
      <w:proofErr w:type="spellStart"/>
      <w:r w:rsidRPr="0016123B">
        <w:rPr>
          <w:rFonts w:ascii="Times New Roman" w:eastAsia="Book Antiqua" w:hAnsi="Times New Roman" w:cs="Times New Roman"/>
          <w:bCs/>
          <w:color w:val="000000"/>
          <w:sz w:val="24"/>
          <w:szCs w:val="24"/>
        </w:rPr>
        <w:t>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kajian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ini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terletak</w:t>
      </w:r>
      <w:proofErr w:type="spellEnd"/>
      <w:r w:rsidRPr="0016123B">
        <w:rPr>
          <w:rFonts w:ascii="Times New Roman" w:eastAsia="Book Antiqua" w:hAnsi="Times New Roman" w:cs="Times New Roman"/>
          <w:bCs/>
          <w:color w:val="000000"/>
          <w:sz w:val="24"/>
          <w:szCs w:val="24"/>
        </w:rPr>
        <w:t xml:space="preserve"> pada </w:t>
      </w:r>
      <w:proofErr w:type="spellStart"/>
      <w:r w:rsidRPr="0016123B">
        <w:rPr>
          <w:rFonts w:ascii="Times New Roman" w:eastAsia="Book Antiqua" w:hAnsi="Times New Roman" w:cs="Times New Roman"/>
          <w:bCs/>
          <w:color w:val="000000"/>
          <w:sz w:val="24"/>
          <w:szCs w:val="24"/>
        </w:rPr>
        <w:t>absennya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pembahasan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sistematis</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mengenai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legitimasi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pembekuan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sumpah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lanskap</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hukum</w:t>
      </w:r>
      <w:proofErr w:type="spellEnd"/>
      <w:r w:rsidRPr="0016123B">
        <w:rPr>
          <w:rFonts w:ascii="Times New Roman" w:eastAsia="Book Antiqua" w:hAnsi="Times New Roman" w:cs="Times New Roman"/>
          <w:bCs/>
          <w:color w:val="000000"/>
          <w:sz w:val="24"/>
          <w:szCs w:val="24"/>
        </w:rPr>
        <w:t xml:space="preserve"> yang </w:t>
      </w:r>
      <w:proofErr w:type="spellStart"/>
      <w:r w:rsidRPr="0016123B">
        <w:rPr>
          <w:rFonts w:ascii="Times New Roman" w:eastAsia="Book Antiqua" w:hAnsi="Times New Roman" w:cs="Times New Roman"/>
          <w:bCs/>
          <w:color w:val="000000"/>
          <w:sz w:val="24"/>
          <w:szCs w:val="24"/>
        </w:rPr>
        <w:t>lebih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luas</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terutama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kaitannya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dengan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kebebasan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sidRPr="0016123B">
        <w:rPr>
          <w:rFonts w:ascii="Times New Roman" w:eastAsia="Book Antiqua" w:hAnsi="Times New Roman" w:cs="Times New Roman"/>
          <w:bCs/>
          <w:color w:val="000000"/>
          <w:sz w:val="24"/>
          <w:szCs w:val="24"/>
        </w:rPr>
        <w:t xml:space="preserve">, due process of law, dan </w:t>
      </w:r>
      <w:proofErr w:type="spellStart"/>
      <w:r w:rsidRPr="0016123B">
        <w:rPr>
          <w:rFonts w:ascii="Times New Roman" w:eastAsia="Book Antiqua" w:hAnsi="Times New Roman" w:cs="Times New Roman"/>
          <w:bCs/>
          <w:color w:val="000000"/>
          <w:sz w:val="24"/>
          <w:szCs w:val="24"/>
        </w:rPr>
        <w:t>batas</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kewenangan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yudisial</w:t>
      </w:r>
      <w:proofErr w:type="spellEnd"/>
      <w:r w:rsidRPr="0016123B">
        <w:rPr>
          <w:rFonts w:ascii="Times New Roman" w:eastAsia="Book Antiqua" w:hAnsi="Times New Roman" w:cs="Times New Roman"/>
          <w:bCs/>
          <w:color w:val="000000"/>
          <w:sz w:val="24"/>
          <w:szCs w:val="24"/>
        </w:rPr>
        <w:t xml:space="preserve">. Kajian </w:t>
      </w:r>
      <w:proofErr w:type="spellStart"/>
      <w:r w:rsidRPr="0016123B">
        <w:rPr>
          <w:rFonts w:ascii="Times New Roman" w:eastAsia="Book Antiqua" w:hAnsi="Times New Roman" w:cs="Times New Roman"/>
          <w:bCs/>
          <w:color w:val="000000"/>
          <w:sz w:val="24"/>
          <w:szCs w:val="24"/>
        </w:rPr>
        <w:t>hukum</w:t>
      </w:r>
      <w:proofErr w:type="spellEnd"/>
      <w:r w:rsidRPr="0016123B">
        <w:rPr>
          <w:rFonts w:ascii="Times New Roman" w:eastAsia="Book Antiqua" w:hAnsi="Times New Roman" w:cs="Times New Roman"/>
          <w:bCs/>
          <w:color w:val="000000"/>
          <w:sz w:val="24"/>
          <w:szCs w:val="24"/>
        </w:rPr>
        <w:t xml:space="preserve"> yang </w:t>
      </w:r>
      <w:proofErr w:type="spellStart"/>
      <w:r w:rsidRPr="0016123B">
        <w:rPr>
          <w:rFonts w:ascii="Times New Roman" w:eastAsia="Book Antiqua" w:hAnsi="Times New Roman" w:cs="Times New Roman"/>
          <w:bCs/>
          <w:color w:val="000000"/>
          <w:sz w:val="24"/>
          <w:szCs w:val="24"/>
        </w:rPr>
        <w:t>ada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lebih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berfokus</w:t>
      </w:r>
      <w:proofErr w:type="spellEnd"/>
      <w:r w:rsidRPr="0016123B">
        <w:rPr>
          <w:rFonts w:ascii="Times New Roman" w:eastAsia="Book Antiqua" w:hAnsi="Times New Roman" w:cs="Times New Roman"/>
          <w:bCs/>
          <w:color w:val="000000"/>
          <w:sz w:val="24"/>
          <w:szCs w:val="24"/>
        </w:rPr>
        <w:t xml:space="preserve"> pada </w:t>
      </w:r>
      <w:proofErr w:type="spellStart"/>
      <w:r w:rsidRPr="0016123B">
        <w:rPr>
          <w:rFonts w:ascii="Times New Roman" w:eastAsia="Book Antiqua" w:hAnsi="Times New Roman" w:cs="Times New Roman"/>
          <w:bCs/>
          <w:color w:val="000000"/>
          <w:sz w:val="24"/>
          <w:szCs w:val="24"/>
        </w:rPr>
        <w:t>aspek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etik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profesi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Pr>
          <w:rFonts w:ascii="Times New Roman" w:eastAsia="Book Antiqua" w:hAnsi="Times New Roman" w:cs="Times New Roman"/>
          <w:bCs/>
          <w:color w:val="000000"/>
          <w:sz w:val="24"/>
          <w:szCs w:val="24"/>
        </w:rPr>
        <w:t xml:space="preserve"> </w:t>
      </w:r>
      <w:r>
        <w:rPr>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 xml:space="preserve">ADDIN CSL_CITATION {"citationItems":[{"id":"ITEM-1","itemData":{"DOI":"10.56370/jhlg.v3i10.285","abstract":"Advokat ialah profesi penegak hukum yang terhormat sebab mengabdikan dirinya pada masyarakat melalui jasa hukum yang diberikan. Namun, praktiknya kerap ditemui advokat tidak melaksanakan kewajiban profesinya bahkan melanggar hukum dan tidak profesional. Tujuan dalam penulisan ini untuk mengetahui etika profesi sebagai upaya pengawasan profesionalisme penegakan hukum dan bagaimana problematika dalam pengimplementasiannya. Metode penulisan yang digunakan adalah yuridis empiris, penulisan yang dilakukan dengan meneliti kenyataan di lapangan melalui pengumpulan fakta dengan wawancara. Hasil yang didapatkan, idealnya etika profesi berperan sebagai pedoman kontrol moral dan perilaku yang membebankan sanksi difokuskan secara psikologis dan kelembagaan supaya dapat membentuk integritas moral yang kuat bagi advokat agar bekerja secara profesional; dan menghindari terjadinya konflik kepentingan akan tetapi dalam implementasinya banyak menghadapi kendala seperti tidak adanya internalisasi nilai-nilai etika profesi dalam setiap individu advokat sehingga berakibat pada penegakan hukum yang tidak adil dan perbuatan advokat yang melanggar hukum.","author":[{"dropping-particle":"","family":"Rolansa","given":"Della","non-dropping-particle":"","parse-names":false,"suffix":""},{"dropping-particle":"","family":"Siboro","given":"B R","non-dropping-particle":"","parse-names":false,"suffix":""},{"dropping-particle":"","family":"Baidhowi","given":"","non-dropping-particle":"","parse-names":false,"suffix":""}],"container-title":"Jurnal Hukum Lex Generalis","id":"ITEM-1","issue":"10","issued":{"date-parts":[["2022"]]},"page":"795–805","title":"Analisis Problematika Penerapan Etika Profesi Advokat Sebagai Upaya Pengawasan Profesionalisme Advokat Dalam Hal Penegakan Hukum","type":"article-journal","volume":"3"},"locator":"795–805","uris":["http://www.mendeley.com/documents/?uuid=7d1e95d7-fb1f-4dd5-82d6-418cafd85190"]},{"id":"ITEM-2","itemData":{"DOI":"10.24239/jsi.v6i2.136.233-246","ISSN":"1411-125X","abstract":"This paper deals with the enforcement of the law and the ethical codes of legal profession, with an analysis from the Islamic approach. It explores legal issues that relate to legal officials, as well as the background and reasons behind the significance of such enforcement that is based on Islamic piety (taqwâ). This paper concludes that the enforcement of the ethical code of legal profession, which is based on Islamic p i e t y , i s a s o l u t i o n f o r t h e l a w e n f o r c e m e n t a n d t h e establishment of the supremacy of law in society as well.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ﻟﻌﻤﻞ</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وظ</w:instrText>
            </w:r>
            <w:r w:rsidR="00F42ABA">
              <w:rPr>
                <w:rFonts w:ascii="Times New Roman" w:eastAsia="Book Antiqua" w:hAnsi="Times New Roman" w:cs="Times New Roman" w:hint="cs"/>
                <w:bCs/>
                <w:color w:val="000000"/>
                <w:sz w:val="24"/>
                <w:szCs w:val="24"/>
                <w:rtl/>
              </w:rPr>
              <w:instrText>ﯿﻔﺔ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آداب</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ﻟﻘﺎﻧﻮن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ﺗﻄﺒﯿﻖ</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ﻟﻤﺸﺎﻛﻞ</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ﻟﺤﺚ</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ھ</w:instrText>
                            </w:r>
                            <w:r w:rsidR="00F42ABA">
                              <w:rPr>
                                <w:rFonts w:ascii="Times New Roman" w:eastAsia="Book Antiqua" w:hAnsi="Times New Roman" w:cs="Times New Roman" w:hint="cs"/>
                                <w:bCs/>
                                <w:color w:val="000000"/>
                                <w:sz w:val="24"/>
                                <w:szCs w:val="24"/>
                                <w:rtl/>
                              </w:rPr>
                              <w:instrText>ﺬا</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ﯾﺘﻨﺎول</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ﻹﺳﻼﻣﯿﺔ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ﻟﺸﺮﯾﻌﺔ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ﺿﻮء</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hint="cs"/>
                                          <w:bCs/>
                                          <w:color w:val="000000"/>
                                          <w:sz w:val="24"/>
                                          <w:szCs w:val="24"/>
                                          <w:rtl/>
                                        </w:rPr>
                                        <w:instrText>ﺻﻒ</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ﻋﻠﻰ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درا</w:instrText>
                                          </w:r>
                                          <w:r w:rsidR="00F42ABA">
                                            <w:rPr>
                                              <w:rFonts w:ascii="Times New Roman" w:eastAsia="Book Antiqua" w:hAnsi="Times New Roman" w:cs="Times New Roman" w:hint="cs"/>
                                              <w:bCs/>
                                              <w:color w:val="000000"/>
                                              <w:sz w:val="24"/>
                                              <w:szCs w:val="24"/>
                                              <w:rtl/>
                                            </w:rPr>
                                            <w:instrText>ﺳﺘﮫ</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ﻟﺒﺤﺚ</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ﻓﯿﺮﻛﺰ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ﻋﻠﻰ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ﻟﻘﺎﻧﻮن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ﺑﺘﻄﺒﯿﻖ</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ﯾﺘﻌﻠﻖ</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ﻓﯿﻤﺎ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ﻻﺳﯿﻤﺎ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ﻟﮭﺎﻣﺔ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ﻟﻘﺎﻧﻮن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ﻗﻀﺎﯾﺎ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ﻻﻧﺘﮭﺎج</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أھ</w:instrText>
                                                                          </w:r>
                                                                          <w:r w:rsidR="00F42ABA">
                                                                            <w:rPr>
                                                                              <w:rFonts w:ascii="Times New Roman" w:eastAsia="Book Antiqua" w:hAnsi="Times New Roman" w:cs="Times New Roman" w:hint="cs"/>
                                                                              <w:bCs/>
                                                                              <w:color w:val="000000"/>
                                                                              <w:sz w:val="24"/>
                                                                              <w:szCs w:val="24"/>
                                                                              <w:rtl/>
                                                                            </w:rPr>
                                                                            <w:instrText>ﻤﯿﺔ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ﯾﺼﻮر</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ﺑﻤﺎ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ﺣﺠﺞ</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ﺧﻠﻔﯿﺎت</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ﻣﻦ</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أ</w:instrText>
                                                                                        </w:r>
                                                                                        <w:r w:rsidR="00F42ABA">
                                                                                          <w:rPr>
                                                                                            <w:rFonts w:ascii="Times New Roman" w:eastAsia="Book Antiqua" w:hAnsi="Times New Roman" w:cs="Times New Roman" w:hint="cs"/>
                                                                                            <w:bCs/>
                                                                                            <w:color w:val="000000"/>
                                                                                            <w:sz w:val="24"/>
                                                                                            <w:szCs w:val="24"/>
                                                                                            <w:rtl/>
                                                                                          </w:rPr>
                                                                                          <w:instrText>ﻧﻮاع</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ﺳﺘﻨﺒﺎط</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ﺑﺂداب</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ﺗﻘﻮاه</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و</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ﺳﺒﺤﻨﮫ</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ﺑﺎ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ﻹﯾﻤﺎن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ﻋﻠﻰ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Pr>
                                                                                                            <w:instrText xml:space="preserve"> </w:instrText>
                                                                                                          </w:r>
                                                                                                          <w:dir w:val="rtl">
                                                                                                            <w:r w:rsidR="00F42ABA">
                                                                                                              <w:rPr>
                                                                                                                <w:rFonts w:ascii="Times New Roman" w:eastAsia="Book Antiqua" w:hAnsi="Times New Roman" w:cs="Times New Roman" w:hint="cs"/>
                                                                                                                <w:bCs/>
                                                                                                                <w:color w:val="000000"/>
                                                                                                                <w:sz w:val="24"/>
                                                                                                                <w:szCs w:val="24"/>
                                                                                                                <w:rtl/>
                                                                                                              </w:rPr>
                                                                                                              <w:instrText>ﺑﻨﺎء</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ﻟﻘﺎﻧﻮن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ﻣﺠﺎل</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ﻟﻌﻤﻞ</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ظ</w:instrText>
                                                                                                                      </w:r>
                                                                                                                      <w:r w:rsidR="00F42ABA">
                                                                                                                        <w:rPr>
                                                                                                                          <w:rFonts w:ascii="Times New Roman" w:eastAsia="Book Antiqua" w:hAnsi="Times New Roman" w:cs="Times New Roman" w:hint="cs"/>
                                                                                                                          <w:bCs/>
                                                                                                                          <w:color w:val="000000"/>
                                                                                                                          <w:sz w:val="24"/>
                                                                                                                          <w:szCs w:val="24"/>
                                                                                                                          <w:rtl/>
                                                                                                                        </w:rPr>
                                                                                                                        <w:instrText>ﯿﻔﺔ</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ﺣﯿﺎة</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ﻟﻘﺎﻧﻮن</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ﺗﻄﺒﯿﻖ</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ﺳﻮء</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ﻟﻤﺸﻜﻼت</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ﺣﺎزﻣﺎ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ﺣﻼ</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ﺑﺎﻋﺘﺒﺎرھﻤﺎ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إ</w:instrText>
                                                                                                                                          </w:r>
                                                                                                                                          <w:r w:rsidR="00F42ABA">
                                                                                                                                            <w:rPr>
                                                                                                                                              <w:rFonts w:ascii="Times New Roman" w:eastAsia="Book Antiqua" w:hAnsi="Times New Roman" w:cs="Times New Roman" w:hint="cs"/>
                                                                                                                                              <w:bCs/>
                                                                                                                                              <w:color w:val="000000"/>
                                                                                                                                              <w:sz w:val="24"/>
                                                                                                                                              <w:szCs w:val="24"/>
                                                                                                                                              <w:rtl/>
                                                                                                                                            </w:rPr>
                                                                                                                                            <w:instrText>ﻧﺪوﻧﯿﺴﯿﺎ</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hint="cs"/>
                                                                                                                                                <w:bCs/>
                                                                                                                                                <w:color w:val="000000"/>
                                                                                                                                                <w:sz w:val="24"/>
                                                                                                                                                <w:szCs w:val="24"/>
                                                                                                                                                <w:rtl/>
                                                                                                                                              </w:rPr>
                                                                                                                                              <w:instrText>ﻓﻰ</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tl/>
                                                                                                                                              </w:rPr>
                                                                                                                                              <w:instrText xml:space="preserve"> </w:instrText>
                                                                                                                                            </w:r>
                                                                                                                                            <w:dir w:val="rtl">
                                                                                                                                              <w:r w:rsidR="00F42ABA">
                                                                                                                                                <w:rPr>
                                                                                                                                                  <w:rFonts w:ascii="Times New Roman" w:eastAsia="Book Antiqua" w:hAnsi="Times New Roman" w:cs="Times New Roman"/>
                                                                                                                                                  <w:bCs/>
                                                                                                                                                  <w:color w:val="000000"/>
                                                                                                                                                  <w:sz w:val="24"/>
                                                                                                                                                  <w:szCs w:val="24"/>
                                                                                                                                                  <w:rtl/>
                                                                                                                                                </w:rPr>
                                                                                                                                                <w:instrText>ا</w:instrText>
                                                                                                                                              </w:r>
                                                                                                                                              <w:r w:rsidR="00F42ABA">
                                                                                                                                                <w:rPr>
                                                                                                                                                  <w:rFonts w:ascii="Times New Roman" w:eastAsia="Book Antiqua" w:hAnsi="Times New Roman" w:cs="Times New Roman" w:hint="cs"/>
                                                                                                                                                  <w:bCs/>
                                                                                                                                                  <w:color w:val="000000"/>
                                                                                                                                                  <w:sz w:val="24"/>
                                                                                                                                                  <w:szCs w:val="24"/>
                                                                                                                                                  <w:rtl/>
                                                                                                                                                </w:rPr>
                                                                                                                                                <w:instrText>ﻟﻤﺠﺘﻤﻊ</w:instrText>
                                                                                                                                              </w:r>
                                                                                                                                              <w:r w:rsidR="00F42ABA">
                                                                                                                                                <w:rPr>
                                                                                                                                                  <w:rFonts w:ascii="Times New Roman" w:eastAsia="Book Antiqua" w:hAnsi="Times New Roman" w:cs="Times New Roman" w:hint="cs"/>
                                                                                                                                                  <w:bCs/>
                                                                                                                                                  <w:color w:val="000000"/>
                                                                                                                                                  <w:sz w:val="24"/>
                                                                                                                                                  <w:szCs w:val="24"/>
                                                                                                                                                  <w:rtl/>
                                                                                                                                                </w:rPr>
                                                                                                                                                <w:instrText>‬</w:instrText>
                                                                                                                                              </w:r>
                                                                                                                                              <w:r w:rsidR="00F42ABA">
                                                                                                                                                <w:rPr>
                                                                                                                                                  <w:rFonts w:ascii="Times New Roman" w:eastAsia="Book Antiqua" w:hAnsi="Times New Roman" w:cs="Times New Roman"/>
                                                                                                                                                  <w:bCs/>
                                                                                                                                                  <w:color w:val="000000"/>
                                                                                                                                                  <w:sz w:val="24"/>
                                                                                                                                                  <w:szCs w:val="24"/>
                                                                                                                                                </w:rPr>
                                                                                                                                                <w:instrText>. Kata Kunci: penegakan hukum, norma hukum, etika profesi, ajaran Islam","author":[{"dropping-particle":"","family":"Hanafi","given":"Suhri","non-dropping-particle":"","parse-names":false,"suffix":""}],"container-title":"HUNAFA: Jurnal Studia Islamika","id":"ITEM-2","issue":"2","issued":{"date-parts":[["2009"]]},"page":"233-246","title":"Problematika Penegakan Hukum Dan Etika Profesi Di Indonesia: Analisis Dengan Pendekatan Nilai-Nilai Ajaran Islam","type":"article-journal","volume":"6"},"locator":"233-246","uris":["http://www.mendeley.com/documents/?uuid=3a314a70-258a-4ba2-9793-9fe6a0d0ae14"]},{"id":"ITEM-3","itemData":{"DOI":"10.11111/nusantara.xxxxxxx","abstract":"Crypto assets are an alternative choice of investment by the Indonesian people. Seeing the increase from high and attracted a lot of investor interest in this crypto asset. This can be taken into consideration to make crypto assets a contributor to state revenue. Therefore, regulations are needed to protect and supervise crypto asset transactions. This study aims to look at the development of crypto assets after being assigned status as a commodity that can be traded on futures exchanges. The method used in writing this journal is normative research using books, journal references, and laws and regulations relevant to this research. This research shows that crypto assets as the subject of new contracts that can be traded on futures exchanges have grown significantly. Starting from establishing the status of crypto assets as new contract subjects that can be traded on futures exchanges in the Regulation of the Minister of Trade of the Republic of Indonesia Number 99 of 2018, Regulation of the Commodity Futures Trading Regulatory Agency Number 3 of 2019, Regulation of the Commodity Futures Trading Regulatory Agency Number 5 of 2019. Then in terms of national economic development, the government makes crypto assets a contributor to state revenue by making them tax objects and regulated in the Regulation of the Minister of Finance of the Republic of Indonesia Number 68/PMK.03/2022 Concerning Value Added Tax and Income Tax on Crypto Asset Trading Transactions, up to within In its development, the government includes crypto asset transactions within the scope of financial sector technology innovation (ITSK) in the draft law on the development and strengthening of the financial sector with the aim of providing guarantees for consumer protection to investors and anticipating the occurrence of an unlawful act. This is in line with the vision in building a golden Indonesia 2045, namely sustainable economic growth and legal development.","author":[{"dropping-particle":"","family":"Jasmine","given":"Maulla","non-dropping-particle":"","parse-names":false,"suffix":""},{"dropping-particle":"","family":"Mutiara","given":"Yoana Ledy","non-dropping-particle":"","parse-names":false,"suffix":""},{"dropping-particle":"","family":"Muhammad","given":"Mufid","non-dropping-particle":"","parse-names":false,"suffix":""},{"dropping-particle":"","family":"Haunan","given":"Haris","non-dropping-particle":"","parse-names":false,"suffix":""}],"container-title":"Das Sollen: Jurnal Kajian Kontemporer Hukum Dan Masyarakat","id":"ITEM-3","issue":"1","issued":{"date-parts":[["2025"]]},"page":"1-13","title":"Implementasi Kode Etik Profesi Advokat Dalam Praktik Sehari-Hari","type":"article-journal","volume":"3"},"locator":"1-13","uris":["http://www.mendeley.com/documents/?uuid=23a8d3ba-a0bc-4175-9bee-3192ae51fbc2"]},{"id":"ITEM-4","itemData":{"DOI":"10.31004/jpdk.v4i6.10062","abstract":"Indonesia as State Law based on Pancasila and the Constitution of the Republic of Indonesia Year 1945 guarantees equality for all before the law (equality before law). In realizing legal principles in society and stating, the role and function of Advocates as a profession that is free, independent and important is important, apart from judicial and law enforcement institutions such as the police and prosecutors. The purpose of writing this article is to examine how the implementation of code of ethics sanctions against lawyers who commit professional violations in Indonesia and what efforts can be made by lawyers who are sanctioned with violations of the code of ethics to raise objections. In carrying out their profession, Advocates are under the protection of the law, law and code of ethics. The legal profession code of ethics is the application of assigned duties that must be in accordance with the Integrated Criminal Justice System by demanding moral accountability to its clients, and to God (breaking the oath of office, abstaining from disgraceful acts, corruption)1and if the Advocate violates the provisions of the code of ethics then the case will be examined and tried by the Honorary Council.","author":[{"dropping-particle":"Al","family":"Fatih","given":"Abdullah Azzam","non-dropping-particle":"","parse-names":false,"suffix":""},{"dropping-particle":"","family":"Affandi","given":"Arif","non-dropping-particle":"","parse-names":false,"suffix":""},{"dropping-particle":"","family":"Lubis","given":"Fauziyah","non-dropping-particle":"","parse-names":false,"suffix":""}],"container-title":"Jurnal Pendidikan dan Konseling","id":"ITEM-4","issue":"6","issued":{"date-parts":[["2022"]]},"page":"10498-10503","title":"Upaya Hukum Advokat yang Terkena Sanksi Pelanggaran Kode Etik","type":"article-journal","volume":"4"},"locator":"10498-10503","uris":["http://www.mendeley.com/documents/?uuid=1ff76a2c-60de-4331-a1b5-9450a283ddef"]}],"mendeley":{"formattedCitation":"[8, pp. 795–805], [9, pp. 233–246], [10, pp. 1–13], [11, pp. 10498–10503]","plainTextFormattedCitation":"[8, pp. 795–805], [9, pp. 233–246], [10, pp. 1–13], [11, pp. 10498–10503]","previouslyFormattedCitation":"[8, pp. 795–805], [9, pp. 233–246], [10, pp. 1–13], [11, pp. 10498–10503]"},"properties":{"noteIndex":0},"schema":"https://github.com/citation-style-language/schema/raw/master/csl-citation.json"}</w:instrText>
                                                                                                                                              </w:r>
                                                                                                                                              <w:r>
                                                                                                                                                <w:rPr>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bCs/>
                                                                                                                                                  <w:noProof/>
                                                                                                                                                  <w:color w:val="000000"/>
                                                                                                                                                  <w:sz w:val="24"/>
                                                                                                                                                  <w:szCs w:val="24"/>
                                                                                                                                                </w:rPr>
                                                                                                                                                <w:t xml:space="preserve">[8, pp. 795–805], </w:t>
                                                                                                                                              </w:r>
                                                                                                                                              <w:r w:rsidR="00F42ABA" w:rsidRPr="00F42ABA">
                                                                                                                                                <w:rPr>
                                                                                                                                                  <w:rFonts w:ascii="Times New Roman" w:eastAsia="Book Antiqua" w:hAnsi="Times New Roman" w:cs="Times New Roman"/>
                                                                                                                                                  <w:bCs/>
                                                                                                                                                  <w:noProof/>
                                                                                                                                                  <w:color w:val="000000"/>
                                                                                                                                                  <w:sz w:val="24"/>
                                                                                                                                                  <w:szCs w:val="24"/>
                                                                                                                                                </w:rPr>
                                                                                                                                                <w:lastRenderedPageBreak/>
                                                                                                                                                <w:t>[9, pp. 233–246], [10, pp. 1–13], [11, pp. 10498–10503]</w:t>
                                                                                                                                              </w:r>
                                                                                                                                              <w:r>
                                                                                                                                                <w:rPr>
                                                                                                                                                  <w:rFonts w:ascii="Times New Roman" w:eastAsia="Book Antiqua" w:hAnsi="Times New Roman" w:cs="Times New Roman"/>
                                                                                                                                                  <w:bCs/>
                                                                                                                                                  <w:color w:val="000000"/>
                                                                                                                                                  <w:sz w:val="24"/>
                                                                                                                                                  <w:szCs w:val="24"/>
                                                                                                                                                </w:rPr>
                                                                                                                                                <w:fldChar w:fldCharType="end"/>
                                                                                                                                              </w:r>
                                                                                                                                              <w:r w:rsidRPr="00993EEC">
                                                                                                                                                <w:rPr>
                                                                                                                                                  <w:rFonts w:ascii="Times New Roman" w:eastAsia="Book Antiqua" w:hAnsi="Times New Roman" w:cs="Times New Roman"/>
                                                                                                                                                  <w:bCs/>
                                                                                                                                                  <w:color w:val="000000"/>
                                                                                                                                                  <w:sz w:val="24"/>
                                                                                                                                                  <w:szCs w:val="24"/>
                                                                                                                                                </w:rPr>
                                                                                                                                                <w:t xml:space="preserve"> dan </w:t>
                                                                                                                                              </w:r>
                                                                                                                                              <w:proofErr w:type="spellStart"/>
                                                                                                                                              <w:r w:rsidRPr="00993EEC">
                                                                                                                                                <w:rPr>
                                                                                                                                                  <w:rFonts w:ascii="Times New Roman" w:eastAsia="Book Antiqua" w:hAnsi="Times New Roman" w:cs="Times New Roman"/>
                                                                                                                                                  <w:bCs/>
                                                                                                                                                  <w:color w:val="000000"/>
                                                                                                                                                  <w:sz w:val="24"/>
                                                                                                                                                  <w:szCs w:val="24"/>
                                                                                                                                                </w:rPr>
                                                                                                                                                <w:t>penerapan</w:t>
                                                                                                                                              </w:r>
                                                                                                                                              <w:proofErr w:type="spellEnd"/>
                                                                                                                                              <w:r w:rsidRPr="00993EEC">
                                                                                                                                                <w:rPr>
                                                                                                                                                  <w:rFonts w:ascii="Times New Roman" w:eastAsia="Book Antiqua" w:hAnsi="Times New Roman" w:cs="Times New Roman"/>
                                                                                                                                                  <w:bCs/>
                                                                                                                                                  <w:color w:val="000000"/>
                                                                                                                                                  <w:sz w:val="24"/>
                                                                                                                                                  <w:szCs w:val="24"/>
                                                                                                                                                </w:rPr>
                                                                                                                                                <w:t xml:space="preserve"> </w:t>
                                                                                                                                              </w:r>
                                                                                                                                              <w:r w:rsidRPr="00993EEC">
                                                                                                                                                <w:rPr>
                                                                                                                                                  <w:rFonts w:ascii="Times New Roman" w:eastAsia="Book Antiqua" w:hAnsi="Times New Roman" w:cs="Times New Roman"/>
                                                                                                                                                  <w:bCs/>
                                                                                                                                                  <w:i/>
                                                                                                                                                  <w:iCs/>
                                                                                                                                                  <w:color w:val="000000"/>
                                                                                                                                                  <w:sz w:val="24"/>
                                                                                                                                                  <w:szCs w:val="24"/>
                                                                                                                                                </w:rPr>
                                                                                                                                                <w:t>contempt of court</w:t>
                                                                                                                                              </w:r>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peradilan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pidana</w:t>
                                                                                                                                              </w:r>
                                                                                                                                              <w:proofErr w:type="spellEnd"/>
                                                                                                                                              <w:r>
                                                                                                                                                <w:rPr>
                                                                                                                                                  <w:rFonts w:ascii="Times New Roman" w:eastAsia="Book Antiqua" w:hAnsi="Times New Roman" w:cs="Times New Roman"/>
                                                                                                                                                  <w:bCs/>
                                                                                                                                                  <w:color w:val="000000"/>
                                                                                                                                                  <w:sz w:val="24"/>
                                                                                                                                                  <w:szCs w:val="24"/>
                                                                                                                                                </w:rPr>
                                                                                                                                                <w:t xml:space="preserve"> </w:t>
                                                                                                                                              </w:r>
                                                                                                                                              <w:proofErr w:type="spellStart"/>
                                                                                                                                              <w:r>
                                                                                                                                                <w:rPr>
                                                                                                                                                  <w:rFonts w:ascii="Times New Roman" w:eastAsia="Book Antiqua" w:hAnsi="Times New Roman" w:cs="Times New Roman"/>
                                                                                                                                                  <w:bCs/>
                                                                                                                                                  <w:color w:val="000000"/>
                                                                                                                                                  <w:sz w:val="24"/>
                                                                                                                                                  <w:szCs w:val="24"/>
                                                                                                                                                </w:rPr>
                                                                                                                                                <w:t>sebagaimana</w:t>
                                                                                                                                              </w:r>
                                                                                                                                              <w:proofErr w:type="spellEnd"/>
                                                                                                                                              <w:r>
                                                                                                                                                <w:rPr>
                                                                                                                                                  <w:rFonts w:ascii="Times New Roman" w:eastAsia="Book Antiqua" w:hAnsi="Times New Roman" w:cs="Times New Roman"/>
                                                                                                                                                  <w:bCs/>
                                                                                                                                                  <w:color w:val="000000"/>
                                                                                                                                                  <w:sz w:val="24"/>
                                                                                                                                                  <w:szCs w:val="24"/>
                                                                                                                                                </w:rPr>
                                                                                                                                                <w:t xml:space="preserve"> </w:t>
                                                                                                                                              </w:r>
                                                                                                                                              <w:proofErr w:type="spellStart"/>
                                                                                                                                              <w:r>
                                                                                                                                                <w:rPr>
                                                                                                                                                  <w:rFonts w:ascii="Times New Roman" w:eastAsia="Book Antiqua" w:hAnsi="Times New Roman" w:cs="Times New Roman"/>
                                                                                                                                                  <w:bCs/>
                                                                                                                                                  <w:color w:val="000000"/>
                                                                                                                                                  <w:sz w:val="24"/>
                                                                                                                                                  <w:szCs w:val="24"/>
                                                                                                                                                </w:rPr>
                                                                                                                                                <w:t>telah</w:t>
                                                                                                                                              </w:r>
                                                                                                                                              <w:proofErr w:type="spellEnd"/>
                                                                                                                                              <w:r>
                                                                                                                                                <w:rPr>
                                                                                                                                                  <w:rFonts w:ascii="Times New Roman" w:eastAsia="Book Antiqua" w:hAnsi="Times New Roman" w:cs="Times New Roman"/>
                                                                                                                                                  <w:bCs/>
                                                                                                                                                  <w:color w:val="000000"/>
                                                                                                                                                  <w:sz w:val="24"/>
                                                                                                                                                  <w:szCs w:val="24"/>
                                                                                                                                                </w:rPr>
                                                                                                                                                <w:t xml:space="preserve"> </w:t>
                                                                                                                                              </w:r>
                                                                                                                                              <w:proofErr w:type="spellStart"/>
                                                                                                                                              <w:r>
                                                                                                                                                <w:rPr>
                                                                                                                                                  <w:rFonts w:ascii="Times New Roman" w:eastAsia="Book Antiqua" w:hAnsi="Times New Roman" w:cs="Times New Roman"/>
                                                                                                                                                  <w:bCs/>
                                                                                                                                                  <w:color w:val="000000"/>
                                                                                                                                                  <w:sz w:val="24"/>
                                                                                                                                                  <w:szCs w:val="24"/>
                                                                                                                                                </w:rPr>
                                                                                                                                                <w:t>disinggung</w:t>
                                                                                                                                              </w:r>
                                                                                                                                              <w:proofErr w:type="spellEnd"/>
                                                                                                                                              <w:r>
                                                                                                                                                <w:rPr>
                                                                                                                                                  <w:rFonts w:ascii="Times New Roman" w:eastAsia="Book Antiqua" w:hAnsi="Times New Roman" w:cs="Times New Roman"/>
                                                                                                                                                  <w:bCs/>
                                                                                                                                                  <w:color w:val="000000"/>
                                                                                                                                                  <w:sz w:val="24"/>
                                                                                                                                                  <w:szCs w:val="24"/>
                                                                                                                                                </w:rPr>
                                                                                                                                                <w:t xml:space="preserve"> </w:t>
                                                                                                                                              </w:r>
                                                                                                                                              <w:proofErr w:type="spellStart"/>
                                                                                                                                              <w:r>
                                                                                                                                                <w:rPr>
                                                                                                                                                  <w:rFonts w:ascii="Times New Roman" w:eastAsia="Book Antiqua" w:hAnsi="Times New Roman" w:cs="Times New Roman"/>
                                                                                                                                                  <w:bCs/>
                                                                                                                                                  <w:color w:val="000000"/>
                                                                                                                                                  <w:sz w:val="24"/>
                                                                                                                                                  <w:szCs w:val="24"/>
                                                                                                                                                </w:rPr>
                                                                                                                                                <w:t>sebelumnya</w:t>
                                                                                                                                              </w:r>
                                                                                                                                              <w:proofErr w:type="spellEnd"/>
                                                                                                                                              <w:r w:rsidRPr="00993EEC">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tetapi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belum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secara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mendalam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membahas</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implikasi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struktural</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dari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pembekuan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sumpah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terhadap</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eksistensi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sebagai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subjek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hukum</w:t>
                                                                                                                                              </w:r>
                                                                                                                                              <w:proofErr w:type="spellEnd"/>
                                                                                                                                              <w:r w:rsidRPr="0016123B">
                                                                                                                                                <w:rPr>
                                                                                                                                                  <w:rFonts w:ascii="Times New Roman" w:eastAsia="Book Antiqua" w:hAnsi="Times New Roman" w:cs="Times New Roman"/>
                                                                                                                                                  <w:bCs/>
                                                                                                                                                  <w:color w:val="000000"/>
                                                                                                                                                  <w:sz w:val="24"/>
                                                                                                                                                  <w:szCs w:val="24"/>
                                                                                                                                                </w:rPr>
                                                                                                                                                <w:t xml:space="preserve"> yang </w:t>
                                                                                                                                              </w:r>
                                                                                                                                              <w:proofErr w:type="spellStart"/>
                                                                                                                                              <w:r w:rsidRPr="0016123B">
                                                                                                                                                <w:rPr>
                                                                                                                                                  <w:rFonts w:ascii="Times New Roman" w:eastAsia="Book Antiqua" w:hAnsi="Times New Roman" w:cs="Times New Roman"/>
                                                                                                                                                  <w:bCs/>
                                                                                                                                                  <w:color w:val="000000"/>
                                                                                                                                                  <w:sz w:val="24"/>
                                                                                                                                                  <w:szCs w:val="24"/>
                                                                                                                                                </w:rPr>
                                                                                                                                                <w:t>independen</w:t>
                                                                                                                                              </w:r>
                                                                                                                                              <w:proofErr w:type="spellEnd"/>
                                                                                                                                              <w:r w:rsidRPr="0016123B">
                                                                                                                                                <w:rPr>
                                                                                                                                                  <w:rFonts w:ascii="Times New Roman" w:eastAsia="Book Antiqua" w:hAnsi="Times New Roman" w:cs="Times New Roman"/>
                                                                                                                                                  <w:bCs/>
                                                                                                                                                  <w:color w:val="000000"/>
                                                                                                                                                  <w:sz w:val="24"/>
                                                                                                                                                  <w:szCs w:val="24"/>
                                                                                                                                                </w:rPr>
                                                                                                                                                <w:t xml:space="preserve">. Oleh </w:t>
                                                                                                                                              </w:r>
                                                                                                                                              <w:proofErr w:type="spellStart"/>
                                                                                                                                              <w:r w:rsidRPr="0016123B">
                                                                                                                                                <w:rPr>
                                                                                                                                                  <w:rFonts w:ascii="Times New Roman" w:eastAsia="Book Antiqua" w:hAnsi="Times New Roman" w:cs="Times New Roman"/>
                                                                                                                                                  <w:bCs/>
                                                                                                                                                  <w:color w:val="000000"/>
                                                                                                                                                  <w:sz w:val="24"/>
                                                                                                                                                  <w:szCs w:val="24"/>
                                                                                                                                                </w:rPr>
                                                                                                                                                <w:t>karena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itu</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penelitian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ini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tidak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hanya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berupaya</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mengisi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kekosongan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akademik</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tersebut</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tetapi</w:t>
                                                                                                                                              </w:r>
                                                                                                                                              <w:proofErr w:type="spellEnd"/>
                                                                                                                                              <w:r w:rsidRPr="0016123B">
                                                                                                                                                <w:rPr>
                                                                                                                                                  <w:rFonts w:ascii="Times New Roman" w:eastAsia="Book Antiqua" w:hAnsi="Times New Roman" w:cs="Times New Roman"/>
                                                                                                                                                  <w:bCs/>
                                                                                                                                                  <w:color w:val="000000"/>
                                                                                                                                                  <w:sz w:val="24"/>
                                                                                                                                                  <w:szCs w:val="24"/>
                                                                                                                                                </w:rPr>
                                                                                                                                                <w:t xml:space="preserve"> juga </w:t>
                                                                                                                                              </w:r>
                                                                                                                                              <w:proofErr w:type="spellStart"/>
                                                                                                                                              <w:r w:rsidRPr="0016123B">
                                                                                                                                                <w:rPr>
                                                                                                                                                  <w:rFonts w:ascii="Times New Roman" w:eastAsia="Book Antiqua" w:hAnsi="Times New Roman" w:cs="Times New Roman"/>
                                                                                                                                                  <w:bCs/>
                                                                                                                                                  <w:color w:val="000000"/>
                                                                                                                                                  <w:sz w:val="24"/>
                                                                                                                                                  <w:szCs w:val="24"/>
                                                                                                                                                </w:rPr>
                                                                                                                                                <w:t>menawarkan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perspektif</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baru</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tentang</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konstitusionalitas</w:t>
                                                                                                                                              </w:r>
                                                                                                                                              <w:proofErr w:type="spellEnd"/>
                                                                                                                                              <w:r w:rsidRPr="0016123B">
                                                                                                                                                <w:rPr>
                                                                                                                                                  <w:rFonts w:ascii="Times New Roman" w:eastAsia="Book Antiqua" w:hAnsi="Times New Roman" w:cs="Times New Roman"/>
                                                                                                                                                  <w:bCs/>
                                                                                                                                                  <w:color w:val="000000"/>
                                                                                                                                                  <w:sz w:val="24"/>
                                                                                                                                                  <w:szCs w:val="24"/>
                                                                                                                                                </w:rPr>
                                                                                                                                                <w:t xml:space="preserve"> dan </w:t>
                                                                                                                                              </w:r>
                                                                                                                                              <w:proofErr w:type="spellStart"/>
                                                                                                                                              <w:r w:rsidRPr="0016123B">
                                                                                                                                                <w:rPr>
                                                                                                                                                  <w:rFonts w:ascii="Times New Roman" w:eastAsia="Book Antiqua" w:hAnsi="Times New Roman" w:cs="Times New Roman"/>
                                                                                                                                                  <w:bCs/>
                                                                                                                                                  <w:color w:val="000000"/>
                                                                                                                                                  <w:sz w:val="24"/>
                                                                                                                                                  <w:szCs w:val="24"/>
                                                                                                                                                </w:rPr>
                                                                                                                                                <w:t>legitimasi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pembekuan</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sumpah</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advokat</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dalam</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konstruksi</w:t>
                                                                                                                                              </w:r>
                                                                                                                                              <w:proofErr w:type="spellEnd"/>
                                                                                                                                              <w:r w:rsidRPr="0016123B">
                                                                                                                                                <w:rPr>
                                                                                                                                                  <w:rFonts w:ascii="Times New Roman" w:eastAsia="Book Antiqua" w:hAnsi="Times New Roman" w:cs="Times New Roman"/>
                                                                                                                                                  <w:bCs/>
                                                                                                                                                  <w:color w:val="000000"/>
                                                                                                                                                  <w:sz w:val="24"/>
                                                                                                                                                  <w:szCs w:val="24"/>
                                                                                                                                                </w:rPr>
                                                                                                                                                <w:t xml:space="preserve"> </w:t>
                                                                                                                                              </w:r>
                                                                                                                                              <w:proofErr w:type="spellStart"/>
                                                                                                                                              <w:r w:rsidRPr="0016123B">
                                                                                                                                                <w:rPr>
                                                                                                                                                  <w:rFonts w:ascii="Times New Roman" w:eastAsia="Book Antiqua" w:hAnsi="Times New Roman" w:cs="Times New Roman"/>
                                                                                                                                                  <w:bCs/>
                                                                                                                                                  <w:color w:val="000000"/>
                                                                                                                                                  <w:sz w:val="24"/>
                                                                                                                                                  <w:szCs w:val="24"/>
                                                                                                                                                </w:rPr>
                                                                                                                                                <w:t>hukum</w:t>
                                                                                                                                              </w:r>
                                                                                                                                              <w:proofErr w:type="spellEnd"/>
                                                                                                                                              <w:r w:rsidRPr="0016123B">
                                                                                                                                                <w:rPr>
                                                                                                                                                  <w:rFonts w:ascii="Times New Roman" w:eastAsia="Book Antiqua" w:hAnsi="Times New Roman" w:cs="Times New Roman"/>
                                                                                                                                                  <w:bCs/>
                                                                                                                                                  <w:color w:val="000000"/>
                                                                                                                                                  <w:sz w:val="24"/>
                                                                                                                                                  <w:szCs w:val="24"/>
                                                                                                                                                </w:rPr>
                                                                                                                                                <w:t xml:space="preserve"> yang </w:t>
                                                                                                                                              </w:r>
                                                                                                                                              <w:proofErr w:type="spellStart"/>
                                                                                                                                              <w:r w:rsidRPr="0016123B">
                                                                                                                                                <w:rPr>
                                                                                                                                                  <w:rFonts w:ascii="Times New Roman" w:eastAsia="Book Antiqua" w:hAnsi="Times New Roman" w:cs="Times New Roman"/>
                                                                                                                                                  <w:bCs/>
                                                                                                                                                  <w:color w:val="000000"/>
                                                                                                                                                  <w:sz w:val="24"/>
                                                                                                                                                  <w:szCs w:val="24"/>
                                                                                                                                                </w:rPr>
                                                                                                                                                <w:t>lebih</w:t>
                                                                                                                                              </w:r>
                                                                                                                                              <w:proofErr w:type="spellEnd"/>
                                                                                                                                              <w:r w:rsidRPr="0016123B">
                                                                                                                                                <w:rPr>
                                                                                                                                                  <w:rFonts w:ascii="Times New Roman" w:eastAsia="Book Antiqua" w:hAnsi="Times New Roman" w:cs="Times New Roman"/>
                                                                                                                                                  <w:bCs/>
                                                                                                                                                  <w:color w:val="000000"/>
                                                                                                                                                  <w:sz w:val="24"/>
                                                                                                                                                  <w:szCs w:val="24"/>
                                                                                                                                                </w:rPr>
                                                                                                                                                <w:t xml:space="preserve"> holistik.</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14:paraId="020B21F2" w14:textId="77777777" w:rsid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proofErr w:type="spellStart"/>
      <w:r w:rsidRPr="00993EEC">
        <w:rPr>
          <w:rFonts w:ascii="Times New Roman" w:eastAsia="Book Antiqua" w:hAnsi="Times New Roman" w:cs="Times New Roman"/>
          <w:bCs/>
          <w:color w:val="000000"/>
          <w:sz w:val="24"/>
          <w:szCs w:val="24"/>
        </w:rPr>
        <w:t>Signifikansi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penelitian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terletak</w:t>
      </w:r>
      <w:proofErr w:type="spellEnd"/>
      <w:r w:rsidRPr="00993EEC">
        <w:rPr>
          <w:rFonts w:ascii="Times New Roman" w:eastAsia="Book Antiqua" w:hAnsi="Times New Roman" w:cs="Times New Roman"/>
          <w:bCs/>
          <w:color w:val="000000"/>
          <w:sz w:val="24"/>
          <w:szCs w:val="24"/>
        </w:rPr>
        <w:t xml:space="preserve"> pada </w:t>
      </w:r>
      <w:proofErr w:type="spellStart"/>
      <w:r w:rsidRPr="00993EEC">
        <w:rPr>
          <w:rFonts w:ascii="Times New Roman" w:eastAsia="Book Antiqua" w:hAnsi="Times New Roman" w:cs="Times New Roman"/>
          <w:bCs/>
          <w:color w:val="000000"/>
          <w:sz w:val="24"/>
          <w:szCs w:val="24"/>
        </w:rPr>
        <w:t>upaya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menawarkan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kerangka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analitis</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lebih</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tajam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memahami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relasi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antara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independensi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profesi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advokat</w:t>
      </w:r>
      <w:proofErr w:type="spellEnd"/>
      <w:r w:rsidRPr="00993EEC">
        <w:rPr>
          <w:rFonts w:ascii="Times New Roman" w:eastAsia="Book Antiqua" w:hAnsi="Times New Roman" w:cs="Times New Roman"/>
          <w:bCs/>
          <w:color w:val="000000"/>
          <w:sz w:val="24"/>
          <w:szCs w:val="24"/>
        </w:rPr>
        <w:t xml:space="preserve"> dan </w:t>
      </w:r>
      <w:proofErr w:type="spellStart"/>
      <w:r w:rsidRPr="00993EEC">
        <w:rPr>
          <w:rFonts w:ascii="Times New Roman" w:eastAsia="Book Antiqua" w:hAnsi="Times New Roman" w:cs="Times New Roman"/>
          <w:bCs/>
          <w:color w:val="000000"/>
          <w:sz w:val="24"/>
          <w:szCs w:val="24"/>
        </w:rPr>
        <w:t>otoritas</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pengadilan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menjaga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ketertiban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persidangan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Dengan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mengeksplorasi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dimensi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yuridis</w:t>
      </w:r>
      <w:proofErr w:type="spellEnd"/>
      <w:r w:rsidRPr="00993EEC">
        <w:rPr>
          <w:rFonts w:ascii="Times New Roman" w:eastAsia="Book Antiqua" w:hAnsi="Times New Roman" w:cs="Times New Roman"/>
          <w:bCs/>
          <w:color w:val="000000"/>
          <w:sz w:val="24"/>
          <w:szCs w:val="24"/>
        </w:rPr>
        <w:t xml:space="preserve"> dan </w:t>
      </w:r>
      <w:proofErr w:type="spellStart"/>
      <w:r w:rsidRPr="00993EEC">
        <w:rPr>
          <w:rFonts w:ascii="Times New Roman" w:eastAsia="Book Antiqua" w:hAnsi="Times New Roman" w:cs="Times New Roman"/>
          <w:bCs/>
          <w:color w:val="000000"/>
          <w:sz w:val="24"/>
          <w:szCs w:val="24"/>
        </w:rPr>
        <w:t>sosiologis</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dari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fenomena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penelitian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dapat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menjadi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rujukan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merumuskan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standar</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hukum</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lebih</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proporsional</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terkait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mekanisme</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pembatasan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terhadap</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advokat</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dianggap</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mengganggu</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jalannya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persidangan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tanpa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mencederai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prinsip</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independensi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profesi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hukum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itu</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sendiri</w:t>
      </w:r>
      <w:proofErr w:type="spellEnd"/>
      <w:r w:rsidRPr="00993EEC">
        <w:rPr>
          <w:rFonts w:ascii="Times New Roman" w:eastAsia="Book Antiqua" w:hAnsi="Times New Roman" w:cs="Times New Roman"/>
          <w:bCs/>
          <w:color w:val="000000"/>
          <w:sz w:val="24"/>
          <w:szCs w:val="24"/>
        </w:rPr>
        <w:t xml:space="preserve">. Selain </w:t>
      </w:r>
      <w:proofErr w:type="spellStart"/>
      <w:r w:rsidRPr="00993EEC">
        <w:rPr>
          <w:rFonts w:ascii="Times New Roman" w:eastAsia="Book Antiqua" w:hAnsi="Times New Roman" w:cs="Times New Roman"/>
          <w:bCs/>
          <w:color w:val="000000"/>
          <w:sz w:val="24"/>
          <w:szCs w:val="24"/>
        </w:rPr>
        <w:t>itu</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penelitian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ini</w:t>
      </w:r>
      <w:proofErr w:type="spellEnd"/>
      <w:r w:rsidRPr="00993EEC">
        <w:rPr>
          <w:rFonts w:ascii="Times New Roman" w:eastAsia="Book Antiqua" w:hAnsi="Times New Roman" w:cs="Times New Roman"/>
          <w:bCs/>
          <w:color w:val="000000"/>
          <w:sz w:val="24"/>
          <w:szCs w:val="24"/>
        </w:rPr>
        <w:t xml:space="preserve"> juga </w:t>
      </w:r>
      <w:proofErr w:type="spellStart"/>
      <w:r w:rsidRPr="00993EEC">
        <w:rPr>
          <w:rFonts w:ascii="Times New Roman" w:eastAsia="Book Antiqua" w:hAnsi="Times New Roman" w:cs="Times New Roman"/>
          <w:bCs/>
          <w:color w:val="000000"/>
          <w:sz w:val="24"/>
          <w:szCs w:val="24"/>
        </w:rPr>
        <w:t>memberikan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kontribusi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dalam</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merumuskan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batasan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normatif</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lebih</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jelas</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mengenai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tindakan</w:t>
      </w:r>
      <w:proofErr w:type="spellEnd"/>
      <w:r w:rsidRPr="00993EEC">
        <w:rPr>
          <w:rFonts w:ascii="Times New Roman" w:eastAsia="Book Antiqua" w:hAnsi="Times New Roman" w:cs="Times New Roman"/>
          <w:bCs/>
          <w:color w:val="000000"/>
          <w:sz w:val="24"/>
          <w:szCs w:val="24"/>
        </w:rPr>
        <w:t xml:space="preserve"> </w:t>
      </w:r>
      <w:r w:rsidRPr="00993EEC">
        <w:rPr>
          <w:rFonts w:ascii="Times New Roman" w:eastAsia="Book Antiqua" w:hAnsi="Times New Roman" w:cs="Times New Roman"/>
          <w:bCs/>
          <w:i/>
          <w:iCs/>
          <w:color w:val="000000"/>
          <w:sz w:val="24"/>
          <w:szCs w:val="24"/>
        </w:rPr>
        <w:t>contempt of court</w:t>
      </w:r>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sehingga</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tidak</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digunakan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sebagai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alat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represif</w:t>
      </w:r>
      <w:proofErr w:type="spellEnd"/>
      <w:r w:rsidRPr="00993EEC">
        <w:rPr>
          <w:rFonts w:ascii="Times New Roman" w:eastAsia="Book Antiqua" w:hAnsi="Times New Roman" w:cs="Times New Roman"/>
          <w:bCs/>
          <w:color w:val="000000"/>
          <w:sz w:val="24"/>
          <w:szCs w:val="24"/>
        </w:rPr>
        <w:t xml:space="preserve"> yang </w:t>
      </w:r>
      <w:proofErr w:type="spellStart"/>
      <w:r w:rsidRPr="00993EEC">
        <w:rPr>
          <w:rFonts w:ascii="Times New Roman" w:eastAsia="Book Antiqua" w:hAnsi="Times New Roman" w:cs="Times New Roman"/>
          <w:bCs/>
          <w:color w:val="000000"/>
          <w:sz w:val="24"/>
          <w:szCs w:val="24"/>
        </w:rPr>
        <w:t>dapat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mereduksi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peran</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advokat</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sebagai</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pengawal</w:t>
      </w:r>
      <w:proofErr w:type="spellEnd"/>
      <w:r w:rsidRPr="00993EEC">
        <w:rPr>
          <w:rFonts w:ascii="Times New Roman" w:eastAsia="Book Antiqua" w:hAnsi="Times New Roman" w:cs="Times New Roman"/>
          <w:bCs/>
          <w:color w:val="000000"/>
          <w:sz w:val="24"/>
          <w:szCs w:val="24"/>
        </w:rPr>
        <w:t xml:space="preserve"> </w:t>
      </w:r>
      <w:proofErr w:type="spellStart"/>
      <w:r w:rsidRPr="00993EEC">
        <w:rPr>
          <w:rFonts w:ascii="Times New Roman" w:eastAsia="Book Antiqua" w:hAnsi="Times New Roman" w:cs="Times New Roman"/>
          <w:bCs/>
          <w:color w:val="000000"/>
          <w:sz w:val="24"/>
          <w:szCs w:val="24"/>
        </w:rPr>
        <w:t>keadilan</w:t>
      </w:r>
      <w:proofErr w:type="spellEnd"/>
      <w:r w:rsidRPr="00993EEC">
        <w:rPr>
          <w:rFonts w:ascii="Times New Roman" w:eastAsia="Book Antiqua" w:hAnsi="Times New Roman" w:cs="Times New Roman"/>
          <w:bCs/>
          <w:color w:val="000000"/>
          <w:sz w:val="24"/>
          <w:szCs w:val="24"/>
        </w:rPr>
        <w:t>.</w:t>
      </w:r>
    </w:p>
    <w:p w14:paraId="0021F9F0" w14:textId="77777777" w:rsidR="00257986" w:rsidRPr="00993EEC"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bCs/>
          <w:color w:val="000000"/>
          <w:sz w:val="24"/>
          <w:szCs w:val="24"/>
        </w:rPr>
      </w:pPr>
      <w:r w:rsidRPr="00E1396C">
        <w:rPr>
          <w:rFonts w:ascii="Times New Roman" w:eastAsia="Book Antiqua" w:hAnsi="Times New Roman" w:cs="Times New Roman"/>
          <w:bCs/>
          <w:color w:val="000000"/>
          <w:sz w:val="24"/>
          <w:szCs w:val="24"/>
        </w:rPr>
        <w:t xml:space="preserve">Penelitian </w:t>
      </w:r>
      <w:proofErr w:type="spellStart"/>
      <w:r w:rsidRPr="00E1396C">
        <w:rPr>
          <w:rFonts w:ascii="Times New Roman" w:eastAsia="Book Antiqua" w:hAnsi="Times New Roman" w:cs="Times New Roman"/>
          <w:bCs/>
          <w:color w:val="000000"/>
          <w:sz w:val="24"/>
          <w:szCs w:val="24"/>
        </w:rPr>
        <w:t>ini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bertujuan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untuk</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menganalisis</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legitimasi</w:t>
      </w:r>
      <w:proofErr w:type="spellEnd"/>
      <w:r w:rsidRPr="00E1396C">
        <w:rPr>
          <w:rFonts w:ascii="Times New Roman" w:eastAsia="Book Antiqua" w:hAnsi="Times New Roman" w:cs="Times New Roman"/>
          <w:bCs/>
          <w:color w:val="000000"/>
          <w:sz w:val="24"/>
          <w:szCs w:val="24"/>
        </w:rPr>
        <w:t xml:space="preserve"> dan </w:t>
      </w:r>
      <w:proofErr w:type="spellStart"/>
      <w:r w:rsidRPr="00E1396C">
        <w:rPr>
          <w:rFonts w:ascii="Times New Roman" w:eastAsia="Book Antiqua" w:hAnsi="Times New Roman" w:cs="Times New Roman"/>
          <w:bCs/>
          <w:color w:val="000000"/>
          <w:sz w:val="24"/>
          <w:szCs w:val="24"/>
        </w:rPr>
        <w:t>implikasi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yuridis</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dari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pembekuan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sumpah</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advokat</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dalam</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konteks</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peradilan</w:t>
      </w:r>
      <w:proofErr w:type="spellEnd"/>
      <w:r w:rsidRPr="00E1396C">
        <w:rPr>
          <w:rFonts w:ascii="Times New Roman" w:eastAsia="Book Antiqua" w:hAnsi="Times New Roman" w:cs="Times New Roman"/>
          <w:bCs/>
          <w:color w:val="000000"/>
          <w:sz w:val="24"/>
          <w:szCs w:val="24"/>
        </w:rPr>
        <w:t xml:space="preserve"> Indonesia. Selain </w:t>
      </w:r>
      <w:proofErr w:type="spellStart"/>
      <w:r w:rsidRPr="00E1396C">
        <w:rPr>
          <w:rFonts w:ascii="Times New Roman" w:eastAsia="Book Antiqua" w:hAnsi="Times New Roman" w:cs="Times New Roman"/>
          <w:bCs/>
          <w:color w:val="000000"/>
          <w:sz w:val="24"/>
          <w:szCs w:val="24"/>
        </w:rPr>
        <w:t>itu</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penelitian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ini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mengeksplorasi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batas-batas</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hukum</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dalam</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menentukan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apakah</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tindakan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pengadilan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tersebut</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memiliki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dasar</w:t>
      </w:r>
      <w:proofErr w:type="spellEnd"/>
      <w:r w:rsidRPr="00E1396C">
        <w:rPr>
          <w:rFonts w:ascii="Times New Roman" w:eastAsia="Book Antiqua" w:hAnsi="Times New Roman" w:cs="Times New Roman"/>
          <w:bCs/>
          <w:color w:val="000000"/>
          <w:sz w:val="24"/>
          <w:szCs w:val="24"/>
        </w:rPr>
        <w:t xml:space="preserve"> yang </w:t>
      </w:r>
      <w:proofErr w:type="spellStart"/>
      <w:r w:rsidRPr="00E1396C">
        <w:rPr>
          <w:rFonts w:ascii="Times New Roman" w:eastAsia="Book Antiqua" w:hAnsi="Times New Roman" w:cs="Times New Roman"/>
          <w:bCs/>
          <w:color w:val="000000"/>
          <w:sz w:val="24"/>
          <w:szCs w:val="24"/>
        </w:rPr>
        <w:t>sah</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atau</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justru</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bertentangan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dengan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prinsip</w:t>
      </w:r>
      <w:proofErr w:type="spellEnd"/>
      <w:r w:rsidRPr="00E1396C">
        <w:rPr>
          <w:rFonts w:ascii="Times New Roman" w:eastAsia="Book Antiqua" w:hAnsi="Times New Roman" w:cs="Times New Roman"/>
          <w:bCs/>
          <w:color w:val="000000"/>
          <w:sz w:val="24"/>
          <w:szCs w:val="24"/>
        </w:rPr>
        <w:t xml:space="preserve"> </w:t>
      </w:r>
      <w:r w:rsidRPr="00E1396C">
        <w:rPr>
          <w:rFonts w:ascii="Times New Roman" w:eastAsia="Book Antiqua" w:hAnsi="Times New Roman" w:cs="Times New Roman"/>
          <w:bCs/>
          <w:i/>
          <w:iCs/>
          <w:color w:val="000000"/>
          <w:sz w:val="24"/>
          <w:szCs w:val="24"/>
        </w:rPr>
        <w:t>due process of law</w:t>
      </w:r>
      <w:r w:rsidRPr="00E1396C">
        <w:rPr>
          <w:rFonts w:ascii="Times New Roman" w:eastAsia="Book Antiqua" w:hAnsi="Times New Roman" w:cs="Times New Roman"/>
          <w:bCs/>
          <w:color w:val="000000"/>
          <w:sz w:val="24"/>
          <w:szCs w:val="24"/>
        </w:rPr>
        <w:t xml:space="preserve">. Dari </w:t>
      </w:r>
      <w:proofErr w:type="spellStart"/>
      <w:r w:rsidRPr="00E1396C">
        <w:rPr>
          <w:rFonts w:ascii="Times New Roman" w:eastAsia="Book Antiqua" w:hAnsi="Times New Roman" w:cs="Times New Roman"/>
          <w:bCs/>
          <w:color w:val="000000"/>
          <w:sz w:val="24"/>
          <w:szCs w:val="24"/>
        </w:rPr>
        <w:t>aspek</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kebaruan</w:t>
      </w:r>
      <w:proofErr w:type="spellEnd"/>
      <w:r w:rsidRPr="00E1396C">
        <w:rPr>
          <w:rFonts w:ascii="Times New Roman" w:eastAsia="Book Antiqua" w:hAnsi="Times New Roman" w:cs="Times New Roman"/>
          <w:bCs/>
          <w:color w:val="000000"/>
          <w:sz w:val="24"/>
          <w:szCs w:val="24"/>
        </w:rPr>
        <w:t xml:space="preserve"> (</w:t>
      </w:r>
      <w:r w:rsidRPr="00E1396C">
        <w:rPr>
          <w:rFonts w:ascii="Times New Roman" w:eastAsia="Book Antiqua" w:hAnsi="Times New Roman" w:cs="Times New Roman"/>
          <w:bCs/>
          <w:i/>
          <w:iCs/>
          <w:color w:val="000000"/>
          <w:sz w:val="24"/>
          <w:szCs w:val="24"/>
        </w:rPr>
        <w:t>novelty</w:t>
      </w:r>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penelitian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ini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menawarkan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pendekatan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integratif</w:t>
      </w:r>
      <w:proofErr w:type="spellEnd"/>
      <w:r w:rsidRPr="00E1396C">
        <w:rPr>
          <w:rFonts w:ascii="Times New Roman" w:eastAsia="Book Antiqua" w:hAnsi="Times New Roman" w:cs="Times New Roman"/>
          <w:bCs/>
          <w:color w:val="000000"/>
          <w:sz w:val="24"/>
          <w:szCs w:val="24"/>
        </w:rPr>
        <w:t xml:space="preserve"> yang </w:t>
      </w:r>
      <w:proofErr w:type="spellStart"/>
      <w:r w:rsidRPr="00E1396C">
        <w:rPr>
          <w:rFonts w:ascii="Times New Roman" w:eastAsia="Book Antiqua" w:hAnsi="Times New Roman" w:cs="Times New Roman"/>
          <w:bCs/>
          <w:color w:val="000000"/>
          <w:sz w:val="24"/>
          <w:szCs w:val="24"/>
        </w:rPr>
        <w:t>mengaitkan</w:t>
      </w:r>
      <w:proofErr w:type="spellEnd"/>
      <w:r w:rsidRPr="00E1396C">
        <w:rPr>
          <w:rFonts w:ascii="Times New Roman" w:eastAsia="Book Antiqua" w:hAnsi="Times New Roman" w:cs="Times New Roman"/>
          <w:bCs/>
          <w:color w:val="000000"/>
          <w:sz w:val="24"/>
          <w:szCs w:val="24"/>
        </w:rPr>
        <w:t xml:space="preserve"> problem </w:t>
      </w:r>
      <w:proofErr w:type="spellStart"/>
      <w:r w:rsidRPr="00E1396C">
        <w:rPr>
          <w:rFonts w:ascii="Times New Roman" w:eastAsia="Book Antiqua" w:hAnsi="Times New Roman" w:cs="Times New Roman"/>
          <w:bCs/>
          <w:color w:val="000000"/>
          <w:sz w:val="24"/>
          <w:szCs w:val="24"/>
        </w:rPr>
        <w:t>pembekuan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sumpah</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advokat</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dengan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supremasi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hukum</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kebebasan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beracara</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serta</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kontestasi</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yudisial</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sebagai</w:t>
      </w:r>
      <w:proofErr w:type="spellEnd"/>
      <w:r w:rsidRPr="00E1396C">
        <w:rPr>
          <w:rFonts w:ascii="Times New Roman" w:eastAsia="Book Antiqua" w:hAnsi="Times New Roman" w:cs="Times New Roman"/>
          <w:bCs/>
          <w:color w:val="000000"/>
          <w:sz w:val="24"/>
          <w:szCs w:val="24"/>
        </w:rPr>
        <w:t xml:space="preserve"> arena </w:t>
      </w:r>
      <w:proofErr w:type="spellStart"/>
      <w:r w:rsidRPr="00E1396C">
        <w:rPr>
          <w:rFonts w:ascii="Times New Roman" w:eastAsia="Book Antiqua" w:hAnsi="Times New Roman" w:cs="Times New Roman"/>
          <w:bCs/>
          <w:color w:val="000000"/>
          <w:sz w:val="24"/>
          <w:szCs w:val="24"/>
        </w:rPr>
        <w:t>tarik-menarik</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kepentingan</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antara</w:t>
      </w:r>
      <w:proofErr w:type="spellEnd"/>
      <w:r w:rsidRPr="00E1396C">
        <w:rPr>
          <w:rFonts w:ascii="Times New Roman" w:eastAsia="Book Antiqua" w:hAnsi="Times New Roman" w:cs="Times New Roman"/>
          <w:bCs/>
          <w:color w:val="000000"/>
          <w:sz w:val="24"/>
          <w:szCs w:val="24"/>
        </w:rPr>
        <w:t xml:space="preserve"> </w:t>
      </w:r>
      <w:proofErr w:type="spellStart"/>
      <w:r w:rsidRPr="00E1396C">
        <w:rPr>
          <w:rFonts w:ascii="Times New Roman" w:eastAsia="Book Antiqua" w:hAnsi="Times New Roman" w:cs="Times New Roman"/>
          <w:bCs/>
          <w:color w:val="000000"/>
          <w:sz w:val="24"/>
          <w:szCs w:val="24"/>
        </w:rPr>
        <w:t>advokat</w:t>
      </w:r>
      <w:proofErr w:type="spellEnd"/>
      <w:r w:rsidRPr="00E1396C">
        <w:rPr>
          <w:rFonts w:ascii="Times New Roman" w:eastAsia="Book Antiqua" w:hAnsi="Times New Roman" w:cs="Times New Roman"/>
          <w:bCs/>
          <w:color w:val="000000"/>
          <w:sz w:val="24"/>
          <w:szCs w:val="24"/>
        </w:rPr>
        <w:t xml:space="preserve"> dan </w:t>
      </w:r>
      <w:proofErr w:type="spellStart"/>
      <w:r w:rsidRPr="00E1396C">
        <w:rPr>
          <w:rFonts w:ascii="Times New Roman" w:eastAsia="Book Antiqua" w:hAnsi="Times New Roman" w:cs="Times New Roman"/>
          <w:bCs/>
          <w:color w:val="000000"/>
          <w:sz w:val="24"/>
          <w:szCs w:val="24"/>
        </w:rPr>
        <w:t>pengadilan</w:t>
      </w:r>
      <w:proofErr w:type="spellEnd"/>
      <w:r w:rsidRPr="00E1396C">
        <w:rPr>
          <w:rFonts w:ascii="Times New Roman" w:eastAsia="Book Antiqua" w:hAnsi="Times New Roman" w:cs="Times New Roman"/>
          <w:bCs/>
          <w:color w:val="000000"/>
          <w:sz w:val="24"/>
          <w:szCs w:val="24"/>
        </w:rPr>
        <w:t>.</w:t>
      </w:r>
    </w:p>
    <w:p w14:paraId="789840A5" w14:textId="77777777" w:rsidR="00F232DA" w:rsidRDefault="00F232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3F4F9FF" w14:textId="415B09A7" w:rsidR="00F232DA" w:rsidRDefault="00186B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62F14B3F" w14:textId="17615312" w:rsidR="00257986" w:rsidRPr="00993EEC"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r w:rsidRPr="00624EBA">
        <w:rPr>
          <w:rFonts w:ascii="Times New Roman" w:eastAsia="Book Antiqua" w:hAnsi="Times New Roman" w:cs="Times New Roman"/>
          <w:color w:val="000000"/>
          <w:sz w:val="24"/>
          <w:szCs w:val="24"/>
        </w:rPr>
        <w:t xml:space="preserve">Penelitian </w:t>
      </w:r>
      <w:proofErr w:type="spellStart"/>
      <w:r w:rsidRPr="00624EBA">
        <w:rPr>
          <w:rFonts w:ascii="Times New Roman" w:eastAsia="Book Antiqua" w:hAnsi="Times New Roman" w:cs="Times New Roman"/>
          <w:color w:val="000000"/>
          <w:sz w:val="24"/>
          <w:szCs w:val="24"/>
        </w:rPr>
        <w:t>ini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berangkat</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dari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pendekatan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normatif</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yuridis</w:t>
      </w:r>
      <w:proofErr w:type="spellEnd"/>
      <w:r w:rsidRPr="00624EBA">
        <w:rPr>
          <w:rFonts w:ascii="Times New Roman" w:eastAsia="Book Antiqua" w:hAnsi="Times New Roman" w:cs="Times New Roman"/>
          <w:color w:val="000000"/>
          <w:sz w:val="24"/>
          <w:szCs w:val="24"/>
        </w:rPr>
        <w:t xml:space="preserve"> yang </w:t>
      </w:r>
      <w:proofErr w:type="spellStart"/>
      <w:r w:rsidRPr="00624EBA">
        <w:rPr>
          <w:rFonts w:ascii="Times New Roman" w:eastAsia="Book Antiqua" w:hAnsi="Times New Roman" w:cs="Times New Roman"/>
          <w:color w:val="000000"/>
          <w:sz w:val="24"/>
          <w:szCs w:val="24"/>
        </w:rPr>
        <w:t>bertumpu</w:t>
      </w:r>
      <w:proofErr w:type="spellEnd"/>
      <w:r w:rsidRPr="00624EBA">
        <w:rPr>
          <w:rFonts w:ascii="Times New Roman" w:eastAsia="Book Antiqua" w:hAnsi="Times New Roman" w:cs="Times New Roman"/>
          <w:color w:val="000000"/>
          <w:sz w:val="24"/>
          <w:szCs w:val="24"/>
        </w:rPr>
        <w:t xml:space="preserve"> pada </w:t>
      </w:r>
      <w:proofErr w:type="spellStart"/>
      <w:r w:rsidRPr="00624EBA">
        <w:rPr>
          <w:rFonts w:ascii="Times New Roman" w:eastAsia="Book Antiqua" w:hAnsi="Times New Roman" w:cs="Times New Roman"/>
          <w:color w:val="000000"/>
          <w:sz w:val="24"/>
          <w:szCs w:val="24"/>
        </w:rPr>
        <w:t>kajian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kepustakaan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atau</w:t>
      </w:r>
      <w:proofErr w:type="spellEnd"/>
      <w:r w:rsidRPr="00624EBA">
        <w:rPr>
          <w:rFonts w:ascii="Times New Roman" w:eastAsia="Book Antiqua" w:hAnsi="Times New Roman" w:cs="Times New Roman"/>
          <w:color w:val="000000"/>
          <w:sz w:val="24"/>
          <w:szCs w:val="24"/>
        </w:rPr>
        <w:t xml:space="preserve"> </w:t>
      </w:r>
      <w:r w:rsidRPr="00624EBA">
        <w:rPr>
          <w:rFonts w:ascii="Times New Roman" w:eastAsia="Book Antiqua" w:hAnsi="Times New Roman" w:cs="Times New Roman"/>
          <w:i/>
          <w:iCs/>
          <w:color w:val="000000"/>
          <w:sz w:val="24"/>
          <w:szCs w:val="24"/>
        </w:rPr>
        <w:t>library research</w:t>
      </w:r>
      <w:r w:rsidRPr="00624EBA">
        <w:rPr>
          <w:rFonts w:ascii="Times New Roman" w:eastAsia="Book Antiqua" w:hAnsi="Times New Roman" w:cs="Times New Roman"/>
          <w:color w:val="000000"/>
          <w:sz w:val="24"/>
          <w:szCs w:val="24"/>
        </w:rPr>
        <w:t xml:space="preserve"> </w:t>
      </w:r>
      <w:r w:rsidRPr="00624EBA">
        <w:rPr>
          <w:rStyle w:val="FootnoteReference"/>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ISBN":"978-979-518-662-5","author":[{"dropping-particle":"","family":"Ashshofa","given":"Burhan","non-dropping-particle":"","parse-names":false,"suffix":""}],"id":"ITEM-1","issued":{"date-parts":[["2013"]]},"number-of-pages":"187","publisher":"Rineka Cipta","publisher-place":"Jakarta","title":"Metode Penelitian Hukum","type":"book"},"locator":"16","uris":["http://www.mendeley.com/documents/?uuid=edcfa4ec-b031-431e-8011-0da60a739bec"]}],"mendeley":{"formattedCitation":"[12, p. 16]","plainTextFormattedCitation":"[12, p. 16]","previouslyFormattedCitation":"[12, p. 16]"},"properties":{"noteIndex":0},"schema":"https://github.com/citation-style-language/schema/raw/master/csl-citation.json"}</w:instrText>
      </w:r>
      <w:r w:rsidRPr="00624EBA">
        <w:rPr>
          <w:rStyle w:val="FootnoteReference"/>
          <w:rFonts w:ascii="Times New Roman" w:hAnsi="Times New Roman" w:cs="Times New Roman"/>
          <w:sz w:val="24"/>
          <w:szCs w:val="24"/>
        </w:rPr>
        <w:fldChar w:fldCharType="separate"/>
      </w:r>
      <w:r w:rsidR="00F42ABA" w:rsidRPr="00F42ABA">
        <w:rPr>
          <w:rFonts w:ascii="Times New Roman" w:hAnsi="Times New Roman" w:cs="Times New Roman"/>
          <w:bCs/>
          <w:noProof/>
          <w:sz w:val="24"/>
          <w:szCs w:val="24"/>
        </w:rPr>
        <w:t>[12, p. 16]</w:t>
      </w:r>
      <w:r w:rsidRPr="00624EBA">
        <w:rPr>
          <w:rStyle w:val="FootnoteReference"/>
          <w:rFonts w:ascii="Times New Roman" w:hAnsi="Times New Roman" w:cs="Times New Roman"/>
          <w:sz w:val="24"/>
          <w:szCs w:val="24"/>
        </w:rPr>
        <w:fldChar w:fldCharType="end"/>
      </w:r>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untuk</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menelaah</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norma</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hukum</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doktrin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serta</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putusan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pengadilan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terkait</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pembekuan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berita</w:t>
      </w:r>
      <w:proofErr w:type="spellEnd"/>
      <w:r w:rsidRPr="00624EBA">
        <w:rPr>
          <w:rFonts w:ascii="Times New Roman" w:eastAsia="Book Antiqua" w:hAnsi="Times New Roman" w:cs="Times New Roman"/>
          <w:color w:val="000000"/>
          <w:sz w:val="24"/>
          <w:szCs w:val="24"/>
        </w:rPr>
        <w:t xml:space="preserve"> acara </w:t>
      </w:r>
      <w:proofErr w:type="spellStart"/>
      <w:r w:rsidRPr="00624EBA">
        <w:rPr>
          <w:rFonts w:ascii="Times New Roman" w:eastAsia="Book Antiqua" w:hAnsi="Times New Roman" w:cs="Times New Roman"/>
          <w:color w:val="000000"/>
          <w:sz w:val="24"/>
          <w:szCs w:val="24"/>
        </w:rPr>
        <w:t>sumpah</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advokat</w:t>
      </w:r>
      <w:proofErr w:type="spellEnd"/>
      <w:r w:rsidRPr="00624EBA">
        <w:rPr>
          <w:rFonts w:ascii="Times New Roman" w:eastAsia="Book Antiqua" w:hAnsi="Times New Roman" w:cs="Times New Roman"/>
          <w:color w:val="000000"/>
          <w:sz w:val="24"/>
          <w:szCs w:val="24"/>
        </w:rPr>
        <w:t xml:space="preserve"> </w:t>
      </w:r>
      <w:r w:rsidRPr="00624EBA">
        <w:rPr>
          <w:rStyle w:val="FootnoteReference"/>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{"citationItems":[{"id":"ITEM-1","itemData":{"ISBN":"978-623-231-232-6","author":[{"dropping-particle":"","family":"Asikin","given":"Aminuddin dan Zainal","non-dropping-particle":"","parse-names":false,"suffix":""}],"edition":"Cet. X","id":"ITEM-1","issued":{"date-parts":[["2010"]]},"number-of-pages":"248","publisher":"Rajawali Pers","publisher-place":"Jakarta","title":"pengantar Metode Penelitian Hukum","type":"book"},"locator":"219","uris":["http://www.mendeley.com/documents/?uuid=a8b5ca9a-4f3d-400e-8984-8f110bd8fcc7"]}],"mendeley":{"formattedCitation":"[13, p. 219]","plainTextFormattedCitation":"[13, p. 219]","previouslyFormattedCitation":"[13, p. 219]"},"properties":{"noteIndex":0},"schema":"https://github.com/citation-style-language/schema/raw/master/csl-citation.json"}</w:instrText>
      </w:r>
      <w:r w:rsidRPr="00624EBA">
        <w:rPr>
          <w:rStyle w:val="FootnoteReference"/>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[13, p. 219]</w:t>
      </w:r>
      <w:r w:rsidRPr="00624EBA">
        <w:rPr>
          <w:rStyle w:val="FootnoteReference"/>
          <w:rFonts w:ascii="Times New Roman" w:hAnsi="Times New Roman" w:cs="Times New Roman"/>
          <w:sz w:val="24"/>
          <w:szCs w:val="24"/>
        </w:rPr>
        <w:fldChar w:fldCharType="end"/>
      </w:r>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Pendekatan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ini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digunakan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guna</w:t>
      </w:r>
      <w:proofErr w:type="spellEnd"/>
      <w:r w:rsidRPr="00624EBA">
        <w:rPr>
          <w:rFonts w:ascii="Times New Roman" w:eastAsia="Book Antiqua" w:hAnsi="Times New Roman" w:cs="Times New Roman"/>
          <w:color w:val="000000"/>
          <w:sz w:val="24"/>
          <w:szCs w:val="24"/>
        </w:rPr>
        <w:t xml:space="preserve"> </w:t>
      </w:r>
      <w:proofErr w:type="spellStart"/>
      <w:r w:rsidRPr="00257986">
        <w:rPr>
          <w:rFonts w:ascii="Times New Roman" w:eastAsia="Times New Roman" w:hAnsi="Times New Roman" w:cs="Times New Roman"/>
          <w:color w:val="000000"/>
          <w:sz w:val="24"/>
          <w:szCs w:val="24"/>
        </w:rPr>
        <w:t>memahami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konstruksi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hukum</w:t>
      </w:r>
      <w:proofErr w:type="spellEnd"/>
      <w:r w:rsidRPr="00624EBA">
        <w:rPr>
          <w:rFonts w:ascii="Times New Roman" w:eastAsia="Book Antiqua" w:hAnsi="Times New Roman" w:cs="Times New Roman"/>
          <w:color w:val="000000"/>
          <w:sz w:val="24"/>
          <w:szCs w:val="24"/>
        </w:rPr>
        <w:t xml:space="preserve"> yang </w:t>
      </w:r>
      <w:proofErr w:type="spellStart"/>
      <w:r w:rsidRPr="00624EBA">
        <w:rPr>
          <w:rFonts w:ascii="Times New Roman" w:eastAsia="Book Antiqua" w:hAnsi="Times New Roman" w:cs="Times New Roman"/>
          <w:color w:val="000000"/>
          <w:sz w:val="24"/>
          <w:szCs w:val="24"/>
        </w:rPr>
        <w:t>mendasari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kewenangan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yudisial</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terhadap</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profesi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advokat</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serta</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implikasinya</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terhadap</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prinsip</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independensi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peradilan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Dengan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demikian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penelitian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ini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tidak</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hanya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mengkaji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aspek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normatif</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teks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tetapi</w:t>
      </w:r>
      <w:proofErr w:type="spellEnd"/>
      <w:r w:rsidRPr="00993EEC">
        <w:rPr>
          <w:rFonts w:ascii="Times New Roman" w:eastAsia="Book Antiqua" w:hAnsi="Times New Roman" w:cs="Times New Roman"/>
          <w:color w:val="000000"/>
          <w:sz w:val="24"/>
          <w:szCs w:val="24"/>
        </w:rPr>
        <w:t xml:space="preserve"> juga </w:t>
      </w:r>
      <w:proofErr w:type="spellStart"/>
      <w:r w:rsidRPr="00993EEC">
        <w:rPr>
          <w:rFonts w:ascii="Times New Roman" w:eastAsia="Book Antiqua" w:hAnsi="Times New Roman" w:cs="Times New Roman"/>
          <w:color w:val="000000"/>
          <w:sz w:val="24"/>
          <w:szCs w:val="24"/>
        </w:rPr>
        <w:t>menelaah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bagaimana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norma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tersebut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diinterpretasikan</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diterapkan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praktik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peradilan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terutama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kasus</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tengah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menjadi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sorotan</w:t>
      </w:r>
      <w:proofErr w:type="spellEnd"/>
      <w:r w:rsidRPr="00993EEC">
        <w:rPr>
          <w:rFonts w:ascii="Times New Roman" w:eastAsia="Book Antiqua" w:hAnsi="Times New Roman" w:cs="Times New Roman"/>
          <w:color w:val="000000"/>
          <w:sz w:val="24"/>
          <w:szCs w:val="24"/>
        </w:rPr>
        <w:t>.</w:t>
      </w:r>
    </w:p>
    <w:p w14:paraId="5DE0A885" w14:textId="278C8A15" w:rsid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proofErr w:type="spellStart"/>
      <w:r w:rsidRPr="00624EBA">
        <w:rPr>
          <w:rFonts w:ascii="Times New Roman" w:eastAsia="Book Antiqua" w:hAnsi="Times New Roman" w:cs="Times New Roman"/>
          <w:color w:val="000000"/>
          <w:sz w:val="24"/>
          <w:szCs w:val="24"/>
        </w:rPr>
        <w:t>Sebagai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bagian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dari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penelitian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hukum</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analisis</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ini</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didasarkan</w:t>
      </w:r>
      <w:proofErr w:type="spellEnd"/>
      <w:r w:rsidRPr="00624EBA">
        <w:rPr>
          <w:rFonts w:ascii="Times New Roman" w:eastAsia="Book Antiqua" w:hAnsi="Times New Roman" w:cs="Times New Roman"/>
          <w:color w:val="000000"/>
          <w:sz w:val="24"/>
          <w:szCs w:val="24"/>
        </w:rPr>
        <w:t xml:space="preserve"> pada </w:t>
      </w:r>
      <w:proofErr w:type="spellStart"/>
      <w:r w:rsidRPr="00624EBA">
        <w:rPr>
          <w:rFonts w:ascii="Times New Roman" w:eastAsia="Book Antiqua" w:hAnsi="Times New Roman" w:cs="Times New Roman"/>
          <w:color w:val="000000"/>
          <w:sz w:val="24"/>
          <w:szCs w:val="24"/>
        </w:rPr>
        <w:t>tiga</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pendekatan</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utama</w:t>
      </w:r>
      <w:proofErr w:type="spellEnd"/>
      <w:r w:rsidRPr="00624EBA">
        <w:rPr>
          <w:rFonts w:ascii="Times New Roman" w:eastAsia="Book Antiqua" w:hAnsi="Times New Roman" w:cs="Times New Roman"/>
          <w:color w:val="000000"/>
          <w:sz w:val="24"/>
          <w:szCs w:val="24"/>
        </w:rPr>
        <w:t xml:space="preserve"> yang </w:t>
      </w:r>
      <w:proofErr w:type="spellStart"/>
      <w:r w:rsidRPr="00624EBA">
        <w:rPr>
          <w:rFonts w:ascii="Times New Roman" w:eastAsia="Book Antiqua" w:hAnsi="Times New Roman" w:cs="Times New Roman"/>
          <w:color w:val="000000"/>
          <w:sz w:val="24"/>
          <w:szCs w:val="24"/>
        </w:rPr>
        <w:t>saling</w:t>
      </w:r>
      <w:proofErr w:type="spellEnd"/>
      <w:r w:rsidRPr="00624EBA">
        <w:rPr>
          <w:rFonts w:ascii="Times New Roman" w:eastAsia="Book Antiqua" w:hAnsi="Times New Roman" w:cs="Times New Roman"/>
          <w:color w:val="000000"/>
          <w:sz w:val="24"/>
          <w:szCs w:val="24"/>
        </w:rPr>
        <w:t xml:space="preserve"> </w:t>
      </w:r>
      <w:proofErr w:type="spellStart"/>
      <w:r w:rsidRPr="00624EBA">
        <w:rPr>
          <w:rFonts w:ascii="Times New Roman" w:eastAsia="Book Antiqua" w:hAnsi="Times New Roman" w:cs="Times New Roman"/>
          <w:color w:val="000000"/>
          <w:sz w:val="24"/>
          <w:szCs w:val="24"/>
        </w:rPr>
        <w:t>melengkapi</w:t>
      </w:r>
      <w:proofErr w:type="spellEnd"/>
      <w:r>
        <w:rPr>
          <w:rFonts w:ascii="Times New Roman" w:eastAsia="Book Antiqua" w:hAnsi="Times New Roman" w:cs="Times New Roman"/>
          <w:color w:val="000000"/>
          <w:sz w:val="24"/>
          <w:szCs w:val="24"/>
        </w:rPr>
        <w:t xml:space="preserve"> </w:t>
      </w:r>
      <w:r>
        <w:rPr>
          <w:rFonts w:ascii="Times New Roman" w:eastAsia="Book Antiqua" w:hAnsi="Times New Roman" w:cs="Times New Roman"/>
          <w:color w:val="000000"/>
          <w:sz w:val="24"/>
          <w:szCs w:val="24"/>
        </w:rPr>
        <w:fldChar w:fldCharType="begin" w:fldLock="1"/>
      </w:r>
      <w:r w:rsidR="00F42ABA">
        <w:rPr>
          <w:rFonts w:ascii="Times New Roman" w:eastAsia="Book Antiqua" w:hAnsi="Times New Roman" w:cs="Times New Roman"/>
          <w:color w:val="000000"/>
          <w:sz w:val="24"/>
          <w:szCs w:val="24"/>
        </w:rPr>
        <w:instrText>ADDIN CSL_CITATION {"citationItems":[{"id":"ITEM-1","itemData":{"author":[{"dropping-particle":"","family":"Marzuki","given":"Peter Mahmud","non-dropping-particle":"","parse-names":false,"suffix":""}],"id":"ITEM-1","issued":{"date-parts":[["2006"]]},"publisher":"Kencana","publisher-place":"Jakarta","title":"Penelitian Hukum","type":"book"},"locator":"93","uris":["http://www.mendeley.com/documents/?uuid=7894a16a-0a95-4967-a3d7-53a27a342b00"]}],"mendeley":{"formattedCitation":"[14, p. 93]","plainTextFormattedCitation":"[14, p. 93]","previouslyFormattedCitation":"[14, p. 93]"},"properties":{"noteIndex":0},"schema":"https://github.com/citation-style-language/schema/raw/master/csl-citation.json"}</w:instrText>
      </w:r>
      <w:r>
        <w:rPr>
          <w:rFonts w:ascii="Times New Roman" w:eastAsia="Book Antiqua" w:hAnsi="Times New Roman" w:cs="Times New Roman"/>
          <w:color w:val="000000"/>
          <w:sz w:val="24"/>
          <w:szCs w:val="24"/>
        </w:rPr>
        <w:fldChar w:fldCharType="separate"/>
      </w:r>
      <w:r w:rsidR="00F42ABA" w:rsidRPr="00F42ABA">
        <w:rPr>
          <w:rFonts w:ascii="Times New Roman" w:eastAsia="Book Antiqua" w:hAnsi="Times New Roman" w:cs="Times New Roman"/>
          <w:noProof/>
          <w:color w:val="000000"/>
          <w:sz w:val="24"/>
          <w:szCs w:val="24"/>
        </w:rPr>
        <w:t>[14, p. 93]</w:t>
      </w:r>
      <w:r>
        <w:rPr>
          <w:rFonts w:ascii="Times New Roman" w:eastAsia="Book Antiqua" w:hAnsi="Times New Roman" w:cs="Times New Roman"/>
          <w:color w:val="000000"/>
          <w:sz w:val="24"/>
          <w:szCs w:val="24"/>
        </w:rPr>
        <w:fldChar w:fldCharType="end"/>
      </w:r>
      <w:r w:rsidRPr="00624EBA">
        <w:rPr>
          <w:rFonts w:ascii="Times New Roman" w:eastAsia="Book Antiqua" w:hAnsi="Times New Roman" w:cs="Times New Roman"/>
          <w:color w:val="000000"/>
          <w:sz w:val="24"/>
          <w:szCs w:val="24"/>
        </w:rPr>
        <w:t>.</w:t>
      </w:r>
      <w:r>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i/>
          <w:iCs/>
          <w:color w:val="000000"/>
          <w:sz w:val="24"/>
          <w:szCs w:val="24"/>
        </w:rPr>
        <w:t>Pertama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pendekatan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perundang-undangan</w:t>
      </w:r>
      <w:proofErr w:type="spellEnd"/>
      <w:r w:rsidRPr="00A53EAF">
        <w:rPr>
          <w:rFonts w:ascii="Times New Roman" w:eastAsia="Book Antiqua" w:hAnsi="Times New Roman" w:cs="Times New Roman"/>
          <w:color w:val="000000"/>
          <w:sz w:val="24"/>
          <w:szCs w:val="24"/>
        </w:rPr>
        <w:t xml:space="preserve"> (</w:t>
      </w:r>
      <w:r w:rsidRPr="00A53EAF">
        <w:rPr>
          <w:rFonts w:ascii="Times New Roman" w:eastAsia="Book Antiqua" w:hAnsi="Times New Roman" w:cs="Times New Roman"/>
          <w:i/>
          <w:iCs/>
          <w:color w:val="000000"/>
          <w:sz w:val="24"/>
          <w:szCs w:val="24"/>
        </w:rPr>
        <w:t>statue approach</w:t>
      </w:r>
      <w:r w:rsidRPr="00A53EAF">
        <w:rPr>
          <w:rFonts w:ascii="Times New Roman" w:eastAsia="Book Antiqua" w:hAnsi="Times New Roman" w:cs="Times New Roman"/>
          <w:color w:val="000000"/>
          <w:sz w:val="24"/>
          <w:szCs w:val="24"/>
        </w:rPr>
        <w:t>)</w:t>
      </w:r>
      <w:r>
        <w:rPr>
          <w:sz w:val="24"/>
          <w:szCs w:val="24"/>
          <w:lang w:bidi="ar-DZ"/>
        </w:rPr>
        <w:t xml:space="preserve"> </w:t>
      </w:r>
      <w:proofErr w:type="spellStart"/>
      <w:r w:rsidRPr="00A53EAF">
        <w:rPr>
          <w:rFonts w:ascii="Times New Roman" w:eastAsia="Book Antiqua" w:hAnsi="Times New Roman" w:cs="Times New Roman"/>
          <w:color w:val="000000"/>
          <w:sz w:val="24"/>
          <w:szCs w:val="24"/>
        </w:rPr>
        <w:t>digunakan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untuk</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mengidentifikasi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dasar</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hukum</w:t>
      </w:r>
      <w:proofErr w:type="spellEnd"/>
      <w:r w:rsidRPr="00A53EAF">
        <w:rPr>
          <w:rFonts w:ascii="Times New Roman" w:eastAsia="Book Antiqua" w:hAnsi="Times New Roman" w:cs="Times New Roman"/>
          <w:color w:val="000000"/>
          <w:sz w:val="24"/>
          <w:szCs w:val="24"/>
        </w:rPr>
        <w:t xml:space="preserve"> yang </w:t>
      </w:r>
      <w:proofErr w:type="spellStart"/>
      <w:r w:rsidRPr="00A53EAF">
        <w:rPr>
          <w:rFonts w:ascii="Times New Roman" w:eastAsia="Book Antiqua" w:hAnsi="Times New Roman" w:cs="Times New Roman"/>
          <w:color w:val="000000"/>
          <w:sz w:val="24"/>
          <w:szCs w:val="24"/>
        </w:rPr>
        <w:t>menjadi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landasan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pembekuan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berita</w:t>
      </w:r>
      <w:proofErr w:type="spellEnd"/>
      <w:r w:rsidRPr="00A53EAF">
        <w:rPr>
          <w:rFonts w:ascii="Times New Roman" w:eastAsia="Book Antiqua" w:hAnsi="Times New Roman" w:cs="Times New Roman"/>
          <w:color w:val="000000"/>
          <w:sz w:val="24"/>
          <w:szCs w:val="24"/>
        </w:rPr>
        <w:t xml:space="preserve"> acara </w:t>
      </w:r>
      <w:proofErr w:type="spellStart"/>
      <w:r w:rsidRPr="00A53EAF">
        <w:rPr>
          <w:rFonts w:ascii="Times New Roman" w:eastAsia="Book Antiqua" w:hAnsi="Times New Roman" w:cs="Times New Roman"/>
          <w:color w:val="000000"/>
          <w:sz w:val="24"/>
          <w:szCs w:val="24"/>
        </w:rPr>
        <w:t>sumpah</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baik</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dalam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Undang-Undang</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Nomor</w:t>
      </w:r>
      <w:proofErr w:type="spellEnd"/>
      <w:r w:rsidRPr="00A53EAF">
        <w:rPr>
          <w:rFonts w:ascii="Times New Roman" w:eastAsia="Book Antiqua" w:hAnsi="Times New Roman" w:cs="Times New Roman"/>
          <w:color w:val="000000"/>
          <w:sz w:val="24"/>
          <w:szCs w:val="24"/>
        </w:rPr>
        <w:t xml:space="preserve"> 18 </w:t>
      </w:r>
      <w:proofErr w:type="spellStart"/>
      <w:r w:rsidRPr="00A53EAF">
        <w:rPr>
          <w:rFonts w:ascii="Times New Roman" w:eastAsia="Book Antiqua" w:hAnsi="Times New Roman" w:cs="Times New Roman"/>
          <w:color w:val="000000"/>
          <w:sz w:val="24"/>
          <w:szCs w:val="24"/>
        </w:rPr>
        <w:t>Tahun</w:t>
      </w:r>
      <w:proofErr w:type="spellEnd"/>
      <w:r w:rsidRPr="00A53EAF">
        <w:rPr>
          <w:rFonts w:ascii="Times New Roman" w:eastAsia="Book Antiqua" w:hAnsi="Times New Roman" w:cs="Times New Roman"/>
          <w:color w:val="000000"/>
          <w:sz w:val="24"/>
          <w:szCs w:val="24"/>
        </w:rPr>
        <w:t xml:space="preserve"> 2003 </w:t>
      </w:r>
      <w:proofErr w:type="spellStart"/>
      <w:r w:rsidRPr="00A53EAF">
        <w:rPr>
          <w:rFonts w:ascii="Times New Roman" w:eastAsia="Book Antiqua" w:hAnsi="Times New Roman" w:cs="Times New Roman"/>
          <w:color w:val="000000"/>
          <w:sz w:val="24"/>
          <w:szCs w:val="24"/>
        </w:rPr>
        <w:t>tentang</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maupun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regulasi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terkait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lainnya</w:t>
      </w:r>
      <w:proofErr w:type="spellEnd"/>
      <w:r w:rsidRPr="00A53EAF">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i/>
          <w:iCs/>
          <w:color w:val="000000"/>
          <w:sz w:val="24"/>
          <w:szCs w:val="24"/>
        </w:rPr>
        <w:t>Kedua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pendekatan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konseptual</w:t>
      </w:r>
      <w:proofErr w:type="spellEnd"/>
      <w:r>
        <w:rPr>
          <w:rFonts w:ascii="Times New Roman" w:eastAsia="Book Antiqua" w:hAnsi="Times New Roman" w:cs="Times New Roman"/>
          <w:color w:val="000000"/>
          <w:sz w:val="24"/>
          <w:szCs w:val="24"/>
        </w:rPr>
        <w:t xml:space="preserve"> </w:t>
      </w:r>
      <w:r w:rsidRPr="00F87CB6">
        <w:rPr>
          <w:rFonts w:ascii="Times New Roman" w:eastAsia="Book Antiqua" w:hAnsi="Times New Roman" w:cs="Times New Roman"/>
          <w:color w:val="000000"/>
          <w:sz w:val="24"/>
          <w:szCs w:val="24"/>
        </w:rPr>
        <w:t>(</w:t>
      </w:r>
      <w:r w:rsidRPr="00F87CB6">
        <w:rPr>
          <w:rFonts w:ascii="Times New Roman" w:eastAsia="Book Antiqua" w:hAnsi="Times New Roman" w:cs="Times New Roman"/>
          <w:i/>
          <w:iCs/>
          <w:color w:val="000000"/>
          <w:sz w:val="24"/>
          <w:szCs w:val="24"/>
        </w:rPr>
        <w:t>conceptual approach</w:t>
      </w:r>
      <w:r w:rsidRPr="00F87CB6">
        <w:rPr>
          <w:rFonts w:ascii="Times New Roman" w:eastAsia="Book Antiqua" w:hAnsi="Times New Roman" w:cs="Times New Roman"/>
          <w:color w:val="000000"/>
          <w:sz w:val="24"/>
          <w:szCs w:val="24"/>
        </w:rPr>
        <w:t>)</w:t>
      </w:r>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diterapkan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untuk</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menelusuri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gagasan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teoretis</w:t>
      </w:r>
      <w:proofErr w:type="spellEnd"/>
      <w:r w:rsidRPr="00A53EAF">
        <w:rPr>
          <w:rFonts w:ascii="Times New Roman" w:eastAsia="Book Antiqua" w:hAnsi="Times New Roman" w:cs="Times New Roman"/>
          <w:color w:val="000000"/>
          <w:sz w:val="24"/>
          <w:szCs w:val="24"/>
        </w:rPr>
        <w:t xml:space="preserve"> yang </w:t>
      </w:r>
      <w:proofErr w:type="spellStart"/>
      <w:r w:rsidRPr="00A53EAF">
        <w:rPr>
          <w:rFonts w:ascii="Times New Roman" w:eastAsia="Book Antiqua" w:hAnsi="Times New Roman" w:cs="Times New Roman"/>
          <w:color w:val="000000"/>
          <w:sz w:val="24"/>
          <w:szCs w:val="24"/>
        </w:rPr>
        <w:t>mendukung</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independensi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profesi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serta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penerapan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konsep</w:t>
      </w:r>
      <w:proofErr w:type="spellEnd"/>
      <w:r w:rsidRPr="00A53EAF">
        <w:rPr>
          <w:rFonts w:ascii="Times New Roman" w:eastAsia="Book Antiqua" w:hAnsi="Times New Roman" w:cs="Times New Roman"/>
          <w:color w:val="000000"/>
          <w:sz w:val="24"/>
          <w:szCs w:val="24"/>
        </w:rPr>
        <w:t xml:space="preserve"> </w:t>
      </w:r>
      <w:r w:rsidRPr="00F87CB6">
        <w:rPr>
          <w:rFonts w:ascii="Times New Roman" w:eastAsia="Book Antiqua" w:hAnsi="Times New Roman" w:cs="Times New Roman"/>
          <w:i/>
          <w:iCs/>
          <w:color w:val="000000"/>
          <w:sz w:val="24"/>
          <w:szCs w:val="24"/>
        </w:rPr>
        <w:t>contempt of court</w:t>
      </w:r>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dalam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mengendalikan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perilaku</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di </w:t>
      </w:r>
      <w:proofErr w:type="spellStart"/>
      <w:r w:rsidRPr="00A53EAF">
        <w:rPr>
          <w:rFonts w:ascii="Times New Roman" w:eastAsia="Book Antiqua" w:hAnsi="Times New Roman" w:cs="Times New Roman"/>
          <w:color w:val="000000"/>
          <w:sz w:val="24"/>
          <w:szCs w:val="24"/>
        </w:rPr>
        <w:t>ruang</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sidang</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Pendekatan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ini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diperkaya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dengan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analisis</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pemikiran</w:t>
      </w:r>
      <w:proofErr w:type="spellEnd"/>
      <w:r w:rsidRPr="00A53EAF">
        <w:rPr>
          <w:rFonts w:ascii="Times New Roman" w:eastAsia="Book Antiqua" w:hAnsi="Times New Roman" w:cs="Times New Roman"/>
          <w:color w:val="000000"/>
          <w:sz w:val="24"/>
          <w:szCs w:val="24"/>
        </w:rPr>
        <w:t xml:space="preserve"> para </w:t>
      </w:r>
      <w:proofErr w:type="spellStart"/>
      <w:r w:rsidRPr="00A53EAF">
        <w:rPr>
          <w:rFonts w:ascii="Times New Roman" w:eastAsia="Book Antiqua" w:hAnsi="Times New Roman" w:cs="Times New Roman"/>
          <w:color w:val="000000"/>
          <w:sz w:val="24"/>
          <w:szCs w:val="24"/>
        </w:rPr>
        <w:t>ahli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hukum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mengenai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batas</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intervensi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pengadilan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terhadap</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organisasi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serta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implikasinya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terhadap</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sistem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peradilan</w:t>
      </w:r>
      <w:proofErr w:type="spellEnd"/>
      <w:r w:rsidRPr="00A53EAF">
        <w:rPr>
          <w:rFonts w:ascii="Times New Roman" w:eastAsia="Book Antiqua" w:hAnsi="Times New Roman" w:cs="Times New Roman"/>
          <w:color w:val="000000"/>
          <w:sz w:val="24"/>
          <w:szCs w:val="24"/>
        </w:rPr>
        <w:t xml:space="preserve"> yang </w:t>
      </w:r>
      <w:proofErr w:type="spellStart"/>
      <w:r w:rsidRPr="00A53EAF">
        <w:rPr>
          <w:rFonts w:ascii="Times New Roman" w:eastAsia="Book Antiqua" w:hAnsi="Times New Roman" w:cs="Times New Roman"/>
          <w:color w:val="000000"/>
          <w:sz w:val="24"/>
          <w:szCs w:val="24"/>
        </w:rPr>
        <w:t>lebih</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luas</w:t>
      </w:r>
      <w:proofErr w:type="spellEnd"/>
      <w:r w:rsidRPr="00A53EAF">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i/>
          <w:iCs/>
          <w:color w:val="000000"/>
          <w:sz w:val="24"/>
          <w:szCs w:val="24"/>
        </w:rPr>
        <w:t>Ketiga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pendekatan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kasus</w:t>
      </w:r>
      <w:proofErr w:type="spellEnd"/>
      <w:r w:rsidRPr="00A53EAF">
        <w:rPr>
          <w:rFonts w:ascii="Times New Roman" w:eastAsia="Book Antiqua" w:hAnsi="Times New Roman" w:cs="Times New Roman"/>
          <w:color w:val="000000"/>
          <w:sz w:val="24"/>
          <w:szCs w:val="24"/>
        </w:rPr>
        <w:t xml:space="preserve"> </w:t>
      </w:r>
      <w:r w:rsidRPr="00F87CB6">
        <w:rPr>
          <w:rFonts w:ascii="Times New Roman" w:eastAsia="Book Antiqua" w:hAnsi="Times New Roman" w:cs="Times New Roman"/>
          <w:color w:val="000000"/>
          <w:sz w:val="24"/>
          <w:szCs w:val="24"/>
        </w:rPr>
        <w:t>(</w:t>
      </w:r>
      <w:r w:rsidRPr="00F87CB6">
        <w:rPr>
          <w:rFonts w:ascii="Times New Roman" w:eastAsia="Book Antiqua" w:hAnsi="Times New Roman" w:cs="Times New Roman"/>
          <w:i/>
          <w:iCs/>
          <w:color w:val="000000"/>
          <w:sz w:val="24"/>
          <w:szCs w:val="24"/>
        </w:rPr>
        <w:t>case approach</w:t>
      </w:r>
      <w:r w:rsidRPr="00F87CB6">
        <w:rPr>
          <w:rFonts w:ascii="Times New Roman" w:eastAsia="Book Antiqua" w:hAnsi="Times New Roman" w:cs="Times New Roman"/>
          <w:color w:val="000000"/>
          <w:sz w:val="24"/>
          <w:szCs w:val="24"/>
        </w:rPr>
        <w:t>)</w:t>
      </w:r>
      <w:r>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difokuskan</w:t>
      </w:r>
      <w:proofErr w:type="spellEnd"/>
      <w:r w:rsidRPr="00A53EAF">
        <w:rPr>
          <w:rFonts w:ascii="Times New Roman" w:eastAsia="Book Antiqua" w:hAnsi="Times New Roman" w:cs="Times New Roman"/>
          <w:color w:val="000000"/>
          <w:sz w:val="24"/>
          <w:szCs w:val="24"/>
        </w:rPr>
        <w:t xml:space="preserve"> pada </w:t>
      </w:r>
      <w:proofErr w:type="spellStart"/>
      <w:r w:rsidRPr="00A53EAF">
        <w:rPr>
          <w:rFonts w:ascii="Times New Roman" w:eastAsia="Book Antiqua" w:hAnsi="Times New Roman" w:cs="Times New Roman"/>
          <w:color w:val="000000"/>
          <w:sz w:val="24"/>
          <w:szCs w:val="24"/>
        </w:rPr>
        <w:t>studi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peristiwa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hukum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dalam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perkara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Nomo</w:t>
      </w:r>
      <w:r>
        <w:rPr>
          <w:rFonts w:ascii="Times New Roman" w:eastAsia="Book Antiqua" w:hAnsi="Times New Roman" w:cs="Times New Roman"/>
          <w:color w:val="000000"/>
          <w:sz w:val="24"/>
          <w:szCs w:val="24"/>
        </w:rPr>
        <w:t>r</w:t>
      </w:r>
      <w:proofErr w:type="spellEnd"/>
      <w:r>
        <w:rPr>
          <w:rFonts w:ascii="Times New Roman" w:eastAsia="Book Antiqua" w:hAnsi="Times New Roman" w:cs="Times New Roman"/>
          <w:color w:val="000000"/>
          <w:sz w:val="24"/>
          <w:szCs w:val="24"/>
        </w:rPr>
        <w:t xml:space="preserve">: </w:t>
      </w:r>
      <w:r w:rsidRPr="00A53EAF">
        <w:rPr>
          <w:rFonts w:ascii="Times New Roman" w:eastAsia="Book Antiqua" w:hAnsi="Times New Roman" w:cs="Times New Roman"/>
          <w:color w:val="000000"/>
          <w:sz w:val="24"/>
          <w:szCs w:val="24"/>
        </w:rPr>
        <w:t>1057/</w:t>
      </w:r>
      <w:proofErr w:type="spellStart"/>
      <w:r w:rsidRPr="00A53EAF">
        <w:rPr>
          <w:rFonts w:ascii="Times New Roman" w:eastAsia="Book Antiqua" w:hAnsi="Times New Roman" w:cs="Times New Roman"/>
          <w:color w:val="000000"/>
          <w:sz w:val="24"/>
          <w:szCs w:val="24"/>
        </w:rPr>
        <w:t>Pid.B</w:t>
      </w:r>
      <w:proofErr w:type="spellEnd"/>
      <w:r w:rsidRPr="00A53EAF">
        <w:rPr>
          <w:rFonts w:ascii="Times New Roman" w:eastAsia="Book Antiqua" w:hAnsi="Times New Roman" w:cs="Times New Roman"/>
          <w:color w:val="000000"/>
          <w:sz w:val="24"/>
          <w:szCs w:val="24"/>
        </w:rPr>
        <w:t>/2024/</w:t>
      </w:r>
      <w:proofErr w:type="spellStart"/>
      <w:proofErr w:type="gramStart"/>
      <w:r w:rsidRPr="00A53EAF">
        <w:rPr>
          <w:rFonts w:ascii="Times New Roman" w:eastAsia="Book Antiqua" w:hAnsi="Times New Roman" w:cs="Times New Roman"/>
          <w:color w:val="000000"/>
          <w:sz w:val="24"/>
          <w:szCs w:val="24"/>
        </w:rPr>
        <w:t>PN.Jkt.Utr</w:t>
      </w:r>
      <w:proofErr w:type="spellEnd"/>
      <w:proofErr w:type="gramEnd"/>
      <w:r w:rsidRPr="00A53EAF">
        <w:rPr>
          <w:rFonts w:ascii="Times New Roman" w:eastAsia="Book Antiqua" w:hAnsi="Times New Roman" w:cs="Times New Roman"/>
          <w:color w:val="000000"/>
          <w:sz w:val="24"/>
          <w:szCs w:val="24"/>
        </w:rPr>
        <w:t xml:space="preserve"> di </w:t>
      </w:r>
      <w:proofErr w:type="spellStart"/>
      <w:r w:rsidRPr="00A53EAF">
        <w:rPr>
          <w:rFonts w:ascii="Times New Roman" w:eastAsia="Book Antiqua" w:hAnsi="Times New Roman" w:cs="Times New Roman"/>
          <w:color w:val="000000"/>
          <w:sz w:val="24"/>
          <w:szCs w:val="24"/>
        </w:rPr>
        <w:t>Pengadilan</w:t>
      </w:r>
      <w:proofErr w:type="spellEnd"/>
      <w:r w:rsidRPr="00A53EAF">
        <w:rPr>
          <w:rFonts w:ascii="Times New Roman" w:eastAsia="Book Antiqua" w:hAnsi="Times New Roman" w:cs="Times New Roman"/>
          <w:color w:val="000000"/>
          <w:sz w:val="24"/>
          <w:szCs w:val="24"/>
        </w:rPr>
        <w:t xml:space="preserve"> Negeri Jakarta Utara, yang </w:t>
      </w:r>
      <w:proofErr w:type="spellStart"/>
      <w:r w:rsidRPr="00A53EAF">
        <w:rPr>
          <w:rFonts w:ascii="Times New Roman" w:eastAsia="Book Antiqua" w:hAnsi="Times New Roman" w:cs="Times New Roman"/>
          <w:color w:val="000000"/>
          <w:sz w:val="24"/>
          <w:szCs w:val="24"/>
        </w:rPr>
        <w:t>melibatkan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dua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Firdaus </w:t>
      </w:r>
      <w:proofErr w:type="spellStart"/>
      <w:r w:rsidRPr="00A53EAF">
        <w:rPr>
          <w:rFonts w:ascii="Times New Roman" w:eastAsia="Book Antiqua" w:hAnsi="Times New Roman" w:cs="Times New Roman"/>
          <w:color w:val="000000"/>
          <w:sz w:val="24"/>
          <w:szCs w:val="24"/>
        </w:rPr>
        <w:t>Oiwobo</w:t>
      </w:r>
      <w:proofErr w:type="spellEnd"/>
      <w:r w:rsidRPr="00A53EAF">
        <w:rPr>
          <w:rFonts w:ascii="Times New Roman" w:eastAsia="Book Antiqua" w:hAnsi="Times New Roman" w:cs="Times New Roman"/>
          <w:color w:val="000000"/>
          <w:sz w:val="24"/>
          <w:szCs w:val="24"/>
        </w:rPr>
        <w:t xml:space="preserve">, S.H. dan </w:t>
      </w:r>
      <w:proofErr w:type="spellStart"/>
      <w:r w:rsidRPr="00A53EAF">
        <w:rPr>
          <w:rFonts w:ascii="Times New Roman" w:eastAsia="Book Antiqua" w:hAnsi="Times New Roman" w:cs="Times New Roman"/>
          <w:color w:val="000000"/>
          <w:sz w:val="24"/>
          <w:szCs w:val="24"/>
        </w:rPr>
        <w:t>Razman</w:t>
      </w:r>
      <w:proofErr w:type="spellEnd"/>
      <w:r w:rsidRPr="00A53EAF">
        <w:rPr>
          <w:rFonts w:ascii="Times New Roman" w:eastAsia="Book Antiqua" w:hAnsi="Times New Roman" w:cs="Times New Roman"/>
          <w:color w:val="000000"/>
          <w:sz w:val="24"/>
          <w:szCs w:val="24"/>
        </w:rPr>
        <w:t xml:space="preserve"> Arif Nasution, S.H., yang </w:t>
      </w:r>
      <w:proofErr w:type="spellStart"/>
      <w:r w:rsidRPr="00A53EAF">
        <w:rPr>
          <w:rFonts w:ascii="Times New Roman" w:eastAsia="Book Antiqua" w:hAnsi="Times New Roman" w:cs="Times New Roman"/>
          <w:color w:val="000000"/>
          <w:sz w:val="24"/>
          <w:szCs w:val="24"/>
        </w:rPr>
        <w:t>diduga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menimbulkan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kegaduhan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dalam</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persidangan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Melalui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pendekatan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ini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penelitian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menguraikan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konstruksi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yuridis</w:t>
      </w:r>
      <w:proofErr w:type="spellEnd"/>
      <w:r w:rsidRPr="00A53EAF">
        <w:rPr>
          <w:rFonts w:ascii="Times New Roman" w:eastAsia="Book Antiqua" w:hAnsi="Times New Roman" w:cs="Times New Roman"/>
          <w:color w:val="000000"/>
          <w:sz w:val="24"/>
          <w:szCs w:val="24"/>
        </w:rPr>
        <w:t xml:space="preserve"> yang </w:t>
      </w:r>
      <w:proofErr w:type="spellStart"/>
      <w:r w:rsidRPr="00A53EAF">
        <w:rPr>
          <w:rFonts w:ascii="Times New Roman" w:eastAsia="Book Antiqua" w:hAnsi="Times New Roman" w:cs="Times New Roman"/>
          <w:color w:val="000000"/>
          <w:sz w:val="24"/>
          <w:szCs w:val="24"/>
        </w:rPr>
        <w:t>melatarbelakangi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pembekuan</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berita</w:t>
      </w:r>
      <w:proofErr w:type="spellEnd"/>
      <w:r w:rsidRPr="00A53EAF">
        <w:rPr>
          <w:rFonts w:ascii="Times New Roman" w:eastAsia="Book Antiqua" w:hAnsi="Times New Roman" w:cs="Times New Roman"/>
          <w:color w:val="000000"/>
          <w:sz w:val="24"/>
          <w:szCs w:val="24"/>
        </w:rPr>
        <w:t xml:space="preserve"> acara </w:t>
      </w:r>
      <w:proofErr w:type="spellStart"/>
      <w:r w:rsidRPr="00A53EAF">
        <w:rPr>
          <w:rFonts w:ascii="Times New Roman" w:eastAsia="Book Antiqua" w:hAnsi="Times New Roman" w:cs="Times New Roman"/>
          <w:color w:val="000000"/>
          <w:sz w:val="24"/>
          <w:szCs w:val="24"/>
        </w:rPr>
        <w:t>sumpah</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serta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konsekuensinya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terhadap</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relasi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antara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lembaga</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peradilan</w:t>
      </w:r>
      <w:proofErr w:type="spellEnd"/>
      <w:r w:rsidRPr="00A53EAF">
        <w:rPr>
          <w:rFonts w:ascii="Times New Roman" w:eastAsia="Book Antiqua" w:hAnsi="Times New Roman" w:cs="Times New Roman"/>
          <w:color w:val="000000"/>
          <w:sz w:val="24"/>
          <w:szCs w:val="24"/>
        </w:rPr>
        <w:t xml:space="preserve"> dan </w:t>
      </w:r>
      <w:proofErr w:type="spellStart"/>
      <w:r w:rsidRPr="00A53EAF">
        <w:rPr>
          <w:rFonts w:ascii="Times New Roman" w:eastAsia="Book Antiqua" w:hAnsi="Times New Roman" w:cs="Times New Roman"/>
          <w:color w:val="000000"/>
          <w:sz w:val="24"/>
          <w:szCs w:val="24"/>
        </w:rPr>
        <w:t>profesi</w:t>
      </w:r>
      <w:proofErr w:type="spellEnd"/>
      <w:r w:rsidRPr="00A53EAF">
        <w:rPr>
          <w:rFonts w:ascii="Times New Roman" w:eastAsia="Book Antiqua" w:hAnsi="Times New Roman" w:cs="Times New Roman"/>
          <w:color w:val="000000"/>
          <w:sz w:val="24"/>
          <w:szCs w:val="24"/>
        </w:rPr>
        <w:t xml:space="preserve"> </w:t>
      </w:r>
      <w:proofErr w:type="spellStart"/>
      <w:r w:rsidRPr="00A53EAF">
        <w:rPr>
          <w:rFonts w:ascii="Times New Roman" w:eastAsia="Book Antiqua" w:hAnsi="Times New Roman" w:cs="Times New Roman"/>
          <w:color w:val="000000"/>
          <w:sz w:val="24"/>
          <w:szCs w:val="24"/>
        </w:rPr>
        <w:t>advokat</w:t>
      </w:r>
      <w:proofErr w:type="spellEnd"/>
      <w:r w:rsidRPr="00A53EAF">
        <w:rPr>
          <w:rFonts w:ascii="Times New Roman" w:eastAsia="Book Antiqua" w:hAnsi="Times New Roman" w:cs="Times New Roman"/>
          <w:color w:val="000000"/>
          <w:sz w:val="24"/>
          <w:szCs w:val="24"/>
        </w:rPr>
        <w:t>.</w:t>
      </w:r>
    </w:p>
    <w:p w14:paraId="0EADE118" w14:textId="77777777" w:rsidR="00257986" w:rsidRPr="00993EEC"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proofErr w:type="spellStart"/>
      <w:r w:rsidRPr="00F87CB6">
        <w:rPr>
          <w:rFonts w:ascii="Times New Roman" w:eastAsia="Book Antiqua" w:hAnsi="Times New Roman" w:cs="Times New Roman"/>
          <w:color w:val="000000"/>
          <w:sz w:val="24"/>
          <w:szCs w:val="24"/>
        </w:rPr>
        <w:t>Pengumpulan</w:t>
      </w:r>
      <w:proofErr w:type="spellEnd"/>
      <w:r w:rsidRPr="00F87CB6">
        <w:rPr>
          <w:rFonts w:ascii="Times New Roman" w:eastAsia="Book Antiqua" w:hAnsi="Times New Roman" w:cs="Times New Roman"/>
          <w:color w:val="000000"/>
          <w:sz w:val="24"/>
          <w:szCs w:val="24"/>
        </w:rPr>
        <w:t xml:space="preserve"> data </w:t>
      </w:r>
      <w:proofErr w:type="spellStart"/>
      <w:r w:rsidRPr="00F87CB6">
        <w:rPr>
          <w:rFonts w:ascii="Times New Roman" w:eastAsia="Book Antiqua" w:hAnsi="Times New Roman" w:cs="Times New Roman"/>
          <w:color w:val="000000"/>
          <w:sz w:val="24"/>
          <w:szCs w:val="24"/>
        </w:rPr>
        <w:t>dilakukan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melalui</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studi</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dokumen</w:t>
      </w:r>
      <w:proofErr w:type="spellEnd"/>
      <w:r w:rsidRPr="00F87CB6">
        <w:rPr>
          <w:rFonts w:ascii="Times New Roman" w:eastAsia="Book Antiqua" w:hAnsi="Times New Roman" w:cs="Times New Roman"/>
          <w:color w:val="000000"/>
          <w:sz w:val="24"/>
          <w:szCs w:val="24"/>
        </w:rPr>
        <w:t xml:space="preserve"> yang </w:t>
      </w:r>
      <w:proofErr w:type="spellStart"/>
      <w:r w:rsidRPr="00F87CB6">
        <w:rPr>
          <w:rFonts w:ascii="Times New Roman" w:eastAsia="Book Antiqua" w:hAnsi="Times New Roman" w:cs="Times New Roman"/>
          <w:color w:val="000000"/>
          <w:sz w:val="24"/>
          <w:szCs w:val="24"/>
        </w:rPr>
        <w:t>mencakup</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sumber</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primer, </w:t>
      </w:r>
      <w:proofErr w:type="spellStart"/>
      <w:r w:rsidRPr="00F87CB6">
        <w:rPr>
          <w:rFonts w:ascii="Times New Roman" w:eastAsia="Book Antiqua" w:hAnsi="Times New Roman" w:cs="Times New Roman"/>
          <w:color w:val="000000"/>
          <w:sz w:val="24"/>
          <w:szCs w:val="24"/>
        </w:rPr>
        <w:t>seperti</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peraturan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perundang-undangan</w:t>
      </w:r>
      <w:proofErr w:type="spellEnd"/>
      <w:r w:rsidRPr="00F87CB6">
        <w:rPr>
          <w:rFonts w:ascii="Times New Roman" w:eastAsia="Book Antiqua" w:hAnsi="Times New Roman" w:cs="Times New Roman"/>
          <w:color w:val="000000"/>
          <w:sz w:val="24"/>
          <w:szCs w:val="24"/>
        </w:rPr>
        <w:t xml:space="preserve"> dan </w:t>
      </w:r>
      <w:proofErr w:type="spellStart"/>
      <w:r w:rsidRPr="00F87CB6">
        <w:rPr>
          <w:rFonts w:ascii="Times New Roman" w:eastAsia="Book Antiqua" w:hAnsi="Times New Roman" w:cs="Times New Roman"/>
          <w:color w:val="000000"/>
          <w:sz w:val="24"/>
          <w:szCs w:val="24"/>
        </w:rPr>
        <w:t>putusan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pengadilan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sumber</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sekunder</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berupa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lastRenderedPageBreak/>
        <w:t>buku-buku</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jurnal</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akademik</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serta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pendapat</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ahli</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serta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sumber</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tersier</w:t>
      </w:r>
      <w:proofErr w:type="spellEnd"/>
      <w:r w:rsidRPr="00F87CB6">
        <w:rPr>
          <w:rFonts w:ascii="Times New Roman" w:eastAsia="Book Antiqua" w:hAnsi="Times New Roman" w:cs="Times New Roman"/>
          <w:color w:val="000000"/>
          <w:sz w:val="24"/>
          <w:szCs w:val="24"/>
        </w:rPr>
        <w:t xml:space="preserve">, yang </w:t>
      </w:r>
      <w:proofErr w:type="spellStart"/>
      <w:r w:rsidRPr="00F87CB6">
        <w:rPr>
          <w:rFonts w:ascii="Times New Roman" w:eastAsia="Book Antiqua" w:hAnsi="Times New Roman" w:cs="Times New Roman"/>
          <w:color w:val="000000"/>
          <w:sz w:val="24"/>
          <w:szCs w:val="24"/>
        </w:rPr>
        <w:t>mencakup</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kamus</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ensiklopedia</w:t>
      </w:r>
      <w:proofErr w:type="spellEnd"/>
      <w:r w:rsidRPr="00F87CB6">
        <w:rPr>
          <w:rFonts w:ascii="Times New Roman" w:eastAsia="Book Antiqua" w:hAnsi="Times New Roman" w:cs="Times New Roman"/>
          <w:color w:val="000000"/>
          <w:sz w:val="24"/>
          <w:szCs w:val="24"/>
        </w:rPr>
        <w:t xml:space="preserve">, dan </w:t>
      </w:r>
      <w:proofErr w:type="spellStart"/>
      <w:r w:rsidRPr="00F87CB6">
        <w:rPr>
          <w:rFonts w:ascii="Times New Roman" w:eastAsia="Book Antiqua" w:hAnsi="Times New Roman" w:cs="Times New Roman"/>
          <w:color w:val="000000"/>
          <w:sz w:val="24"/>
          <w:szCs w:val="24"/>
        </w:rPr>
        <w:t>bahan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referensi</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lainnya</w:t>
      </w:r>
      <w:proofErr w:type="spellEnd"/>
      <w:r w:rsidRPr="00F87CB6">
        <w:rPr>
          <w:rFonts w:ascii="Times New Roman" w:eastAsia="Book Antiqua" w:hAnsi="Times New Roman" w:cs="Times New Roman"/>
          <w:color w:val="000000"/>
          <w:sz w:val="24"/>
          <w:szCs w:val="24"/>
        </w:rPr>
        <w:t xml:space="preserve">. Data yang </w:t>
      </w:r>
      <w:proofErr w:type="spellStart"/>
      <w:r w:rsidRPr="00F87CB6">
        <w:rPr>
          <w:rFonts w:ascii="Times New Roman" w:eastAsia="Book Antiqua" w:hAnsi="Times New Roman" w:cs="Times New Roman"/>
          <w:color w:val="000000"/>
          <w:sz w:val="24"/>
          <w:szCs w:val="24"/>
        </w:rPr>
        <w:t>terkumpul</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kemudian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dianalisis</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dengan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menggunakan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metode</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analisis</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deduktif-induktif</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yaitu</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dengan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menelaah</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norma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hukum</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secara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sistematis</w:t>
      </w:r>
      <w:proofErr w:type="spellEnd"/>
      <w:r w:rsidRPr="00F87CB6">
        <w:rPr>
          <w:rFonts w:ascii="Times New Roman" w:eastAsia="Book Antiqua" w:hAnsi="Times New Roman" w:cs="Times New Roman"/>
          <w:color w:val="000000"/>
          <w:sz w:val="24"/>
          <w:szCs w:val="24"/>
        </w:rPr>
        <w:t xml:space="preserve"> dan </w:t>
      </w:r>
      <w:proofErr w:type="spellStart"/>
      <w:r w:rsidRPr="00F87CB6">
        <w:rPr>
          <w:rFonts w:ascii="Times New Roman" w:eastAsia="Book Antiqua" w:hAnsi="Times New Roman" w:cs="Times New Roman"/>
          <w:color w:val="000000"/>
          <w:sz w:val="24"/>
          <w:szCs w:val="24"/>
        </w:rPr>
        <w:t>membandingkannya</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dengan</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realitas</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praktik</w:t>
      </w:r>
      <w:proofErr w:type="spellEnd"/>
      <w:r w:rsidRPr="00F87CB6">
        <w:rPr>
          <w:rFonts w:ascii="Times New Roman" w:eastAsia="Book Antiqua" w:hAnsi="Times New Roman" w:cs="Times New Roman"/>
          <w:color w:val="000000"/>
          <w:sz w:val="24"/>
          <w:szCs w:val="24"/>
        </w:rPr>
        <w:t xml:space="preserve"> </w:t>
      </w:r>
      <w:proofErr w:type="spellStart"/>
      <w:r w:rsidRPr="00F87CB6">
        <w:rPr>
          <w:rFonts w:ascii="Times New Roman" w:eastAsia="Book Antiqua" w:hAnsi="Times New Roman" w:cs="Times New Roman"/>
          <w:color w:val="000000"/>
          <w:sz w:val="24"/>
          <w:szCs w:val="24"/>
        </w:rPr>
        <w:t>peradilan</w:t>
      </w:r>
      <w:proofErr w:type="spellEnd"/>
      <w:r w:rsidRPr="00F87CB6">
        <w:rPr>
          <w:rFonts w:ascii="Times New Roman" w:eastAsia="Book Antiqua" w:hAnsi="Times New Roman" w:cs="Times New Roman"/>
          <w:color w:val="000000"/>
          <w:sz w:val="24"/>
          <w:szCs w:val="24"/>
        </w:rPr>
        <w:t>.</w:t>
      </w:r>
    </w:p>
    <w:p w14:paraId="3FA102FA" w14:textId="270248B2" w:rsidR="00257986" w:rsidRPr="0070048D"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r w:rsidRPr="00993EEC">
        <w:rPr>
          <w:rFonts w:ascii="Times New Roman" w:eastAsia="Book Antiqua" w:hAnsi="Times New Roman" w:cs="Times New Roman"/>
          <w:color w:val="000000"/>
          <w:sz w:val="24"/>
          <w:szCs w:val="24"/>
        </w:rPr>
        <w:t xml:space="preserve">Model </w:t>
      </w:r>
      <w:proofErr w:type="spellStart"/>
      <w:r w:rsidRPr="00993EEC">
        <w:rPr>
          <w:rFonts w:ascii="Times New Roman" w:eastAsia="Book Antiqua" w:hAnsi="Times New Roman" w:cs="Times New Roman"/>
          <w:color w:val="000000"/>
          <w:sz w:val="24"/>
          <w:szCs w:val="24"/>
        </w:rPr>
        <w:t>analisis</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digunakan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penelitian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mengadopsi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metode</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interpretatif</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hermeneutika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Pr>
          <w:rFonts w:ascii="Times New Roman" w:eastAsia="Book Antiqua" w:hAnsi="Times New Roman" w:cs="Times New Roman"/>
          <w:color w:val="000000"/>
          <w:sz w:val="24"/>
          <w:szCs w:val="24"/>
        </w:rPr>
        <w:t xml:space="preserve"> </w:t>
      </w:r>
      <w:r>
        <w:rPr>
          <w:rFonts w:ascii="Times New Roman" w:eastAsia="Book Antiqua" w:hAnsi="Times New Roman" w:cs="Times New Roman"/>
          <w:color w:val="000000"/>
          <w:sz w:val="24"/>
          <w:szCs w:val="24"/>
        </w:rPr>
        <w:fldChar w:fldCharType="begin" w:fldLock="1"/>
      </w:r>
      <w:r w:rsidR="00F42ABA">
        <w:rPr>
          <w:rFonts w:ascii="Times New Roman" w:eastAsia="Book Antiqua" w:hAnsi="Times New Roman" w:cs="Times New Roman"/>
          <w:color w:val="000000"/>
          <w:sz w:val="24"/>
          <w:szCs w:val="24"/>
        </w:rPr>
        <w:instrText>ADDIN CSL_CITATION {"citationItems":[{"id":"ITEM-1","itemData":{"ISBN":"979-3333-40-9","author":[{"dropping-particle":"","family":"Hamidi","given":"Jazim","non-dropping-particle":"","parse-names":false,"suffix":""}],"id":"ITEM-1","issued":{"date-parts":[["2005"]]},"number-of-pages":"104","publisher":"UII Press","publisher-place":"Yogyakarta","title":"Hermeneutika Hukum: Teori Penemuan Hukum Baru Dengan Interpretasi Teks","type":"book"},"locator":"63-64","uris":["http://www.mendeley.com/documents/?uuid=b084e22c-5fdb-4989-bee4-b04d6c1de55b"]}],"mendeley":{"formattedCitation":"[15, pp. 63–64]","plainTextFormattedCitation":"[15, pp. 63–64]","previouslyFormattedCitation":"[15, pp. 63–64]"},"properties":{"noteIndex":0},"schema":"https://github.com/citation-style-language/schema/raw/master/csl-citation.json"}</w:instrText>
      </w:r>
      <w:r>
        <w:rPr>
          <w:rFonts w:ascii="Times New Roman" w:eastAsia="Book Antiqua" w:hAnsi="Times New Roman" w:cs="Times New Roman"/>
          <w:color w:val="000000"/>
          <w:sz w:val="24"/>
          <w:szCs w:val="24"/>
        </w:rPr>
        <w:fldChar w:fldCharType="separate"/>
      </w:r>
      <w:r w:rsidR="00F42ABA" w:rsidRPr="00F42ABA">
        <w:rPr>
          <w:rFonts w:ascii="Times New Roman" w:eastAsia="Book Antiqua" w:hAnsi="Times New Roman" w:cs="Times New Roman"/>
          <w:noProof/>
          <w:color w:val="000000"/>
          <w:sz w:val="24"/>
          <w:szCs w:val="24"/>
        </w:rPr>
        <w:t>[15, pp. 63–64]</w:t>
      </w:r>
      <w:r>
        <w:rPr>
          <w:rFonts w:ascii="Times New Roman" w:eastAsia="Book Antiqua" w:hAnsi="Times New Roman" w:cs="Times New Roman"/>
          <w:color w:val="000000"/>
          <w:sz w:val="24"/>
          <w:szCs w:val="24"/>
        </w:rPr>
        <w:fldChar w:fldCharType="end"/>
      </w:r>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bertujuan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untuk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mengungkap</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makna</w:t>
      </w:r>
      <w:proofErr w:type="spellEnd"/>
      <w:r w:rsidRPr="00993EEC">
        <w:rPr>
          <w:rFonts w:ascii="Times New Roman" w:eastAsia="Book Antiqua" w:hAnsi="Times New Roman" w:cs="Times New Roman"/>
          <w:color w:val="000000"/>
          <w:sz w:val="24"/>
          <w:szCs w:val="24"/>
        </w:rPr>
        <w:t xml:space="preserve"> di </w:t>
      </w:r>
      <w:proofErr w:type="spellStart"/>
      <w:r w:rsidRPr="00993EEC">
        <w:rPr>
          <w:rFonts w:ascii="Times New Roman" w:eastAsia="Book Antiqua" w:hAnsi="Times New Roman" w:cs="Times New Roman"/>
          <w:color w:val="000000"/>
          <w:sz w:val="24"/>
          <w:szCs w:val="24"/>
        </w:rPr>
        <w:t>balik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regulasi</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mengatur</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peran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advokat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serta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batasan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kewenangan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pengadilan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membekukan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berita</w:t>
      </w:r>
      <w:proofErr w:type="spellEnd"/>
      <w:r w:rsidRPr="00993EEC">
        <w:rPr>
          <w:rFonts w:ascii="Times New Roman" w:eastAsia="Book Antiqua" w:hAnsi="Times New Roman" w:cs="Times New Roman"/>
          <w:color w:val="000000"/>
          <w:sz w:val="24"/>
          <w:szCs w:val="24"/>
        </w:rPr>
        <w:t xml:space="preserve"> acara </w:t>
      </w:r>
      <w:proofErr w:type="spellStart"/>
      <w:r w:rsidRPr="00993EEC">
        <w:rPr>
          <w:rFonts w:ascii="Times New Roman" w:eastAsia="Book Antiqua" w:hAnsi="Times New Roman" w:cs="Times New Roman"/>
          <w:color w:val="000000"/>
          <w:sz w:val="24"/>
          <w:szCs w:val="24"/>
        </w:rPr>
        <w:t>sumpah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advokat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Analisis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dilakukan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melalui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tiga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tahapan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utama</w:t>
      </w:r>
      <w:proofErr w:type="spellEnd"/>
      <w:r w:rsidRPr="00993EEC">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i/>
          <w:iCs/>
          <w:color w:val="000000"/>
          <w:sz w:val="24"/>
          <w:szCs w:val="24"/>
        </w:rPr>
        <w:t>Pertama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analisis</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tekstual</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yaitu</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menelaah</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substansi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aturan</w:t>
      </w:r>
      <w:proofErr w:type="spellEnd"/>
      <w:r w:rsidRPr="0070048D">
        <w:rPr>
          <w:rFonts w:ascii="Times New Roman" w:eastAsia="Book Antiqua" w:hAnsi="Times New Roman" w:cs="Times New Roman"/>
          <w:color w:val="000000"/>
          <w:sz w:val="24"/>
          <w:szCs w:val="24"/>
        </w:rPr>
        <w:t xml:space="preserve"> yang </w:t>
      </w:r>
      <w:proofErr w:type="spellStart"/>
      <w:r w:rsidRPr="0070048D">
        <w:rPr>
          <w:rFonts w:ascii="Times New Roman" w:eastAsia="Book Antiqua" w:hAnsi="Times New Roman" w:cs="Times New Roman"/>
          <w:color w:val="000000"/>
          <w:sz w:val="24"/>
          <w:szCs w:val="24"/>
        </w:rPr>
        <w:t>berlaku</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dalam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teks</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hukum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i/>
          <w:iCs/>
          <w:color w:val="000000"/>
          <w:sz w:val="24"/>
          <w:szCs w:val="24"/>
        </w:rPr>
        <w:t>Kedua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analisis</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kontekstual</w:t>
      </w:r>
      <w:proofErr w:type="spellEnd"/>
      <w:r w:rsidRPr="0070048D">
        <w:rPr>
          <w:rFonts w:ascii="Times New Roman" w:eastAsia="Book Antiqua" w:hAnsi="Times New Roman" w:cs="Times New Roman"/>
          <w:color w:val="000000"/>
          <w:sz w:val="24"/>
          <w:szCs w:val="24"/>
        </w:rPr>
        <w:t xml:space="preserve">, yang </w:t>
      </w:r>
      <w:proofErr w:type="spellStart"/>
      <w:r w:rsidRPr="0070048D">
        <w:rPr>
          <w:rFonts w:ascii="Times New Roman" w:eastAsia="Book Antiqua" w:hAnsi="Times New Roman" w:cs="Times New Roman"/>
          <w:color w:val="000000"/>
          <w:sz w:val="24"/>
          <w:szCs w:val="24"/>
        </w:rPr>
        <w:t>menyoroti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implementasi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norma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hukum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dalam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praktik</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peradilan</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terutama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dalam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kasus</w:t>
      </w:r>
      <w:proofErr w:type="spellEnd"/>
      <w:r w:rsidRPr="0070048D">
        <w:rPr>
          <w:rFonts w:ascii="Times New Roman" w:eastAsia="Book Antiqua" w:hAnsi="Times New Roman" w:cs="Times New Roman"/>
          <w:color w:val="000000"/>
          <w:sz w:val="24"/>
          <w:szCs w:val="24"/>
        </w:rPr>
        <w:t xml:space="preserve"> yang </w:t>
      </w:r>
      <w:proofErr w:type="spellStart"/>
      <w:r w:rsidRPr="0070048D">
        <w:rPr>
          <w:rFonts w:ascii="Times New Roman" w:eastAsia="Book Antiqua" w:hAnsi="Times New Roman" w:cs="Times New Roman"/>
          <w:color w:val="000000"/>
          <w:sz w:val="24"/>
          <w:szCs w:val="24"/>
        </w:rPr>
        <w:t>diteliti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i/>
          <w:iCs/>
          <w:color w:val="000000"/>
          <w:sz w:val="24"/>
          <w:szCs w:val="24"/>
        </w:rPr>
        <w:t>Ketiga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analisis</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kritis</w:t>
      </w:r>
      <w:proofErr w:type="spellEnd"/>
      <w:r w:rsidRPr="0070048D">
        <w:rPr>
          <w:rFonts w:ascii="Times New Roman" w:eastAsia="Book Antiqua" w:hAnsi="Times New Roman" w:cs="Times New Roman"/>
          <w:color w:val="000000"/>
          <w:sz w:val="24"/>
          <w:szCs w:val="24"/>
        </w:rPr>
        <w:t xml:space="preserve">, yang </w:t>
      </w:r>
      <w:proofErr w:type="spellStart"/>
      <w:r w:rsidRPr="0070048D">
        <w:rPr>
          <w:rFonts w:ascii="Times New Roman" w:eastAsia="Book Antiqua" w:hAnsi="Times New Roman" w:cs="Times New Roman"/>
          <w:color w:val="000000"/>
          <w:sz w:val="24"/>
          <w:szCs w:val="24"/>
        </w:rPr>
        <w:t>mengevaluasi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dinamika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relasi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kekuasaan</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antara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lembaga</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peradilan</w:t>
      </w:r>
      <w:proofErr w:type="spellEnd"/>
      <w:r w:rsidRPr="0070048D">
        <w:rPr>
          <w:rFonts w:ascii="Times New Roman" w:eastAsia="Book Antiqua" w:hAnsi="Times New Roman" w:cs="Times New Roman"/>
          <w:color w:val="000000"/>
          <w:sz w:val="24"/>
          <w:szCs w:val="24"/>
        </w:rPr>
        <w:t xml:space="preserve"> dan </w:t>
      </w:r>
      <w:proofErr w:type="spellStart"/>
      <w:r w:rsidRPr="0070048D">
        <w:rPr>
          <w:rFonts w:ascii="Times New Roman" w:eastAsia="Book Antiqua" w:hAnsi="Times New Roman" w:cs="Times New Roman"/>
          <w:color w:val="000000"/>
          <w:sz w:val="24"/>
          <w:szCs w:val="24"/>
        </w:rPr>
        <w:t>organisasi</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advokat</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dalam</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konteks</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penegakan</w:t>
      </w:r>
      <w:proofErr w:type="spellEnd"/>
      <w:r w:rsidRPr="0070048D">
        <w:rPr>
          <w:rFonts w:ascii="Times New Roman" w:eastAsia="Book Antiqua" w:hAnsi="Times New Roman" w:cs="Times New Roman"/>
          <w:color w:val="000000"/>
          <w:sz w:val="24"/>
          <w:szCs w:val="24"/>
        </w:rPr>
        <w:t xml:space="preserve"> </w:t>
      </w:r>
      <w:proofErr w:type="spellStart"/>
      <w:r w:rsidRPr="0070048D">
        <w:rPr>
          <w:rFonts w:ascii="Times New Roman" w:eastAsia="Book Antiqua" w:hAnsi="Times New Roman" w:cs="Times New Roman"/>
          <w:color w:val="000000"/>
          <w:sz w:val="24"/>
          <w:szCs w:val="24"/>
        </w:rPr>
        <w:t>hukum</w:t>
      </w:r>
      <w:proofErr w:type="spellEnd"/>
      <w:r w:rsidRPr="0070048D">
        <w:rPr>
          <w:rFonts w:ascii="Times New Roman" w:eastAsia="Book Antiqua" w:hAnsi="Times New Roman" w:cs="Times New Roman"/>
          <w:color w:val="000000"/>
          <w:sz w:val="24"/>
          <w:szCs w:val="24"/>
        </w:rPr>
        <w:t>.</w:t>
      </w:r>
    </w:p>
    <w:p w14:paraId="44885A35" w14:textId="03E99BD4" w:rsidR="00257986" w:rsidRPr="00993EEC"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r w:rsidRPr="00993EEC">
        <w:rPr>
          <w:rFonts w:ascii="Times New Roman" w:eastAsia="Book Antiqua" w:hAnsi="Times New Roman" w:cs="Times New Roman"/>
          <w:color w:val="000000"/>
          <w:sz w:val="24"/>
          <w:szCs w:val="24"/>
        </w:rPr>
        <w:t xml:space="preserve">Demi </w:t>
      </w:r>
      <w:proofErr w:type="spellStart"/>
      <w:r w:rsidRPr="00993EEC">
        <w:rPr>
          <w:rFonts w:ascii="Times New Roman" w:eastAsia="Book Antiqua" w:hAnsi="Times New Roman" w:cs="Times New Roman"/>
          <w:color w:val="000000"/>
          <w:sz w:val="24"/>
          <w:szCs w:val="24"/>
        </w:rPr>
        <w:t>memastikan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validitas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penelitian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digunakan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teknik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triangulasi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sumber</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yakni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membandingkan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temuan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dari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berbagai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sumber</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berbeda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guna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mendapatkan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pemahaman</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komprehensif</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tidak</w:t>
      </w:r>
      <w:proofErr w:type="spellEnd"/>
      <w:r w:rsidRPr="00993EEC">
        <w:rPr>
          <w:rFonts w:ascii="Times New Roman" w:eastAsia="Book Antiqua" w:hAnsi="Times New Roman" w:cs="Times New Roman"/>
          <w:color w:val="000000"/>
          <w:sz w:val="24"/>
          <w:szCs w:val="24"/>
        </w:rPr>
        <w:t xml:space="preserve"> bias. Selain </w:t>
      </w:r>
      <w:proofErr w:type="spellStart"/>
      <w:r w:rsidRPr="00993EEC">
        <w:rPr>
          <w:rFonts w:ascii="Times New Roman" w:eastAsia="Book Antiqua" w:hAnsi="Times New Roman" w:cs="Times New Roman"/>
          <w:color w:val="000000"/>
          <w:sz w:val="24"/>
          <w:szCs w:val="24"/>
        </w:rPr>
        <w:t>itu</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pendekatan</w:t>
      </w:r>
      <w:proofErr w:type="spellEnd"/>
      <w:r w:rsidRPr="00993EEC">
        <w:rPr>
          <w:rFonts w:ascii="Times New Roman" w:eastAsia="Book Antiqua" w:hAnsi="Times New Roman" w:cs="Times New Roman"/>
          <w:color w:val="000000"/>
          <w:sz w:val="24"/>
          <w:szCs w:val="24"/>
        </w:rPr>
        <w:t xml:space="preserve"> </w:t>
      </w:r>
      <w:r w:rsidRPr="0068185F">
        <w:rPr>
          <w:rFonts w:ascii="Times New Roman" w:eastAsia="Book Antiqua" w:hAnsi="Times New Roman" w:cs="Times New Roman"/>
          <w:i/>
          <w:iCs/>
          <w:color w:val="000000"/>
          <w:sz w:val="24"/>
          <w:szCs w:val="24"/>
        </w:rPr>
        <w:t>legal reasoning</w:t>
      </w:r>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diterapkan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untuk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menguji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koherensi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argumentasi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dikemukakan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berbagai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literatur</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putusan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pengadilan</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dianalisis</w:t>
      </w:r>
      <w:proofErr w:type="spellEnd"/>
      <w:r w:rsidRPr="00993EEC">
        <w:rPr>
          <w:rFonts w:ascii="Times New Roman" w:eastAsia="Book Antiqua" w:hAnsi="Times New Roman" w:cs="Times New Roman"/>
          <w:color w:val="000000"/>
          <w:sz w:val="24"/>
          <w:szCs w:val="24"/>
        </w:rPr>
        <w:t>.</w:t>
      </w:r>
      <w:r>
        <w:rPr>
          <w:rFonts w:ascii="Times New Roman" w:eastAsia="Book Antiqua" w:hAnsi="Times New Roman" w:cs="Times New Roman"/>
          <w:color w:val="000000"/>
          <w:sz w:val="24"/>
          <w:szCs w:val="24"/>
        </w:rPr>
        <w:t xml:space="preserve"> </w:t>
      </w:r>
      <w:r w:rsidRPr="00993EEC">
        <w:rPr>
          <w:rFonts w:ascii="Times New Roman" w:eastAsia="Book Antiqua" w:hAnsi="Times New Roman" w:cs="Times New Roman"/>
          <w:color w:val="000000"/>
          <w:sz w:val="24"/>
          <w:szCs w:val="24"/>
        </w:rPr>
        <w:t xml:space="preserve">Adapun </w:t>
      </w:r>
      <w:proofErr w:type="spellStart"/>
      <w:r w:rsidRPr="00993EEC">
        <w:rPr>
          <w:rFonts w:ascii="Times New Roman" w:eastAsia="Book Antiqua" w:hAnsi="Times New Roman" w:cs="Times New Roman"/>
          <w:color w:val="000000"/>
          <w:sz w:val="24"/>
          <w:szCs w:val="24"/>
        </w:rPr>
        <w:t>reliabilitas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penelitian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dijaga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memastikan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bahwa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seluruh</w:t>
      </w:r>
      <w:proofErr w:type="spellEnd"/>
      <w:r w:rsidRPr="00993EEC">
        <w:rPr>
          <w:rFonts w:ascii="Times New Roman" w:eastAsia="Book Antiqua" w:hAnsi="Times New Roman" w:cs="Times New Roman"/>
          <w:color w:val="000000"/>
          <w:sz w:val="24"/>
          <w:szCs w:val="24"/>
        </w:rPr>
        <w:t xml:space="preserve"> data yang </w:t>
      </w:r>
      <w:proofErr w:type="spellStart"/>
      <w:r w:rsidRPr="00993EEC">
        <w:rPr>
          <w:rFonts w:ascii="Times New Roman" w:eastAsia="Book Antiqua" w:hAnsi="Times New Roman" w:cs="Times New Roman"/>
          <w:color w:val="000000"/>
          <w:sz w:val="24"/>
          <w:szCs w:val="24"/>
        </w:rPr>
        <w:t>digunakan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berasal</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dari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sumber</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yang sahih dan </w:t>
      </w:r>
      <w:proofErr w:type="spellStart"/>
      <w:r w:rsidRPr="00993EEC">
        <w:rPr>
          <w:rFonts w:ascii="Times New Roman" w:eastAsia="Book Antiqua" w:hAnsi="Times New Roman" w:cs="Times New Roman"/>
          <w:color w:val="000000"/>
          <w:sz w:val="24"/>
          <w:szCs w:val="24"/>
        </w:rPr>
        <w:t>dapat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diuji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ulang</w:t>
      </w:r>
      <w:proofErr w:type="spellEnd"/>
      <w:r w:rsidRPr="00993EEC">
        <w:rPr>
          <w:rFonts w:ascii="Times New Roman" w:eastAsia="Book Antiqua" w:hAnsi="Times New Roman" w:cs="Times New Roman"/>
          <w:color w:val="000000"/>
          <w:sz w:val="24"/>
          <w:szCs w:val="24"/>
        </w:rPr>
        <w:t xml:space="preserve"> oleh </w:t>
      </w:r>
      <w:proofErr w:type="spellStart"/>
      <w:r w:rsidRPr="00993EEC">
        <w:rPr>
          <w:rFonts w:ascii="Times New Roman" w:eastAsia="Book Antiqua" w:hAnsi="Times New Roman" w:cs="Times New Roman"/>
          <w:color w:val="000000"/>
          <w:sz w:val="24"/>
          <w:szCs w:val="24"/>
        </w:rPr>
        <w:t>peneliti</w:t>
      </w:r>
      <w:r>
        <w:rPr>
          <w:rFonts w:ascii="Times New Roman" w:eastAsia="Book Antiqua" w:hAnsi="Times New Roman" w:cs="Times New Roman"/>
          <w:color w:val="000000"/>
          <w:sz w:val="24"/>
          <w:szCs w:val="24"/>
        </w:rPr>
        <w:t>an</w:t>
      </w:r>
      <w:proofErr w:type="spellEnd"/>
      <w:r>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lain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Konsistensi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metode</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analisis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juga </w:t>
      </w:r>
      <w:proofErr w:type="spellStart"/>
      <w:r w:rsidRPr="00993EEC">
        <w:rPr>
          <w:rFonts w:ascii="Times New Roman" w:eastAsia="Book Antiqua" w:hAnsi="Times New Roman" w:cs="Times New Roman"/>
          <w:color w:val="000000"/>
          <w:sz w:val="24"/>
          <w:szCs w:val="24"/>
        </w:rPr>
        <w:t>dijaga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menggunakan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kerangka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analisis</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jelas</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sistematis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demikian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hasil</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penelitian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tidak</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hanya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bersifat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deskriptif</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tetapi</w:t>
      </w:r>
      <w:proofErr w:type="spellEnd"/>
      <w:r w:rsidRPr="00993EEC">
        <w:rPr>
          <w:rFonts w:ascii="Times New Roman" w:eastAsia="Book Antiqua" w:hAnsi="Times New Roman" w:cs="Times New Roman"/>
          <w:color w:val="000000"/>
          <w:sz w:val="24"/>
          <w:szCs w:val="24"/>
        </w:rPr>
        <w:t xml:space="preserve"> juga </w:t>
      </w:r>
      <w:proofErr w:type="spellStart"/>
      <w:r w:rsidRPr="00993EEC">
        <w:rPr>
          <w:rFonts w:ascii="Times New Roman" w:eastAsia="Book Antiqua" w:hAnsi="Times New Roman" w:cs="Times New Roman"/>
          <w:color w:val="000000"/>
          <w:sz w:val="24"/>
          <w:szCs w:val="24"/>
        </w:rPr>
        <w:t>analitis</w:t>
      </w:r>
      <w:proofErr w:type="spellEnd"/>
      <w:r w:rsidRPr="00993EEC">
        <w:rPr>
          <w:rFonts w:ascii="Times New Roman" w:eastAsia="Book Antiqua" w:hAnsi="Times New Roman" w:cs="Times New Roman"/>
          <w:color w:val="000000"/>
          <w:sz w:val="24"/>
          <w:szCs w:val="24"/>
        </w:rPr>
        <w:t xml:space="preserve"> dan </w:t>
      </w:r>
      <w:proofErr w:type="spellStart"/>
      <w:r w:rsidRPr="00993EEC">
        <w:rPr>
          <w:rFonts w:ascii="Times New Roman" w:eastAsia="Book Antiqua" w:hAnsi="Times New Roman" w:cs="Times New Roman"/>
          <w:color w:val="000000"/>
          <w:sz w:val="24"/>
          <w:szCs w:val="24"/>
        </w:rPr>
        <w:t>argumentatif</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membangun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kerangka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lebih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utuh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mengenai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dialektika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pembekuan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berita</w:t>
      </w:r>
      <w:proofErr w:type="spellEnd"/>
      <w:r w:rsidRPr="00993EEC">
        <w:rPr>
          <w:rFonts w:ascii="Times New Roman" w:eastAsia="Book Antiqua" w:hAnsi="Times New Roman" w:cs="Times New Roman"/>
          <w:color w:val="000000"/>
          <w:sz w:val="24"/>
          <w:szCs w:val="24"/>
        </w:rPr>
        <w:t xml:space="preserve"> acara </w:t>
      </w:r>
      <w:proofErr w:type="spellStart"/>
      <w:r w:rsidRPr="00993EEC">
        <w:rPr>
          <w:rFonts w:ascii="Times New Roman" w:eastAsia="Book Antiqua" w:hAnsi="Times New Roman" w:cs="Times New Roman"/>
          <w:color w:val="000000"/>
          <w:sz w:val="24"/>
          <w:szCs w:val="24"/>
        </w:rPr>
        <w:t>sumpah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advokat</w:t>
      </w:r>
      <w:proofErr w:type="spellEnd"/>
      <w:r w:rsidRPr="00993EEC">
        <w:rPr>
          <w:rFonts w:ascii="Times New Roman" w:eastAsia="Book Antiqua" w:hAnsi="Times New Roman" w:cs="Times New Roman"/>
          <w:color w:val="000000"/>
          <w:sz w:val="24"/>
          <w:szCs w:val="24"/>
        </w:rPr>
        <w:t>.</w:t>
      </w:r>
    </w:p>
    <w:p w14:paraId="5520B5F5" w14:textId="23CCC756" w:rsidR="00257986" w:rsidRPr="00257986"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highlight w:val="yellow"/>
        </w:rPr>
      </w:pPr>
      <w:proofErr w:type="spellStart"/>
      <w:r w:rsidRPr="00993EEC">
        <w:rPr>
          <w:rFonts w:ascii="Times New Roman" w:eastAsia="Book Antiqua" w:hAnsi="Times New Roman" w:cs="Times New Roman"/>
          <w:color w:val="000000"/>
          <w:sz w:val="24"/>
          <w:szCs w:val="24"/>
        </w:rPr>
        <w:t>Dengan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pendekatan</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demikian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penelitian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diharapkan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dapat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memberikan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kontribusi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akademik</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signifikan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memperjelas</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batasan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kewenangan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yudisial</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terhadap</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profesi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advokat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serta</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merumuskan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landasan</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hukum</w:t>
      </w:r>
      <w:proofErr w:type="spellEnd"/>
      <w:r w:rsidRPr="00993EEC">
        <w:rPr>
          <w:rFonts w:ascii="Times New Roman" w:eastAsia="Book Antiqua" w:hAnsi="Times New Roman" w:cs="Times New Roman"/>
          <w:color w:val="000000"/>
          <w:sz w:val="24"/>
          <w:szCs w:val="24"/>
        </w:rPr>
        <w:t xml:space="preserve"> yang </w:t>
      </w:r>
      <w:proofErr w:type="spellStart"/>
      <w:r w:rsidRPr="00993EEC">
        <w:rPr>
          <w:rFonts w:ascii="Times New Roman" w:eastAsia="Book Antiqua" w:hAnsi="Times New Roman" w:cs="Times New Roman"/>
          <w:color w:val="000000"/>
          <w:sz w:val="24"/>
          <w:szCs w:val="24"/>
        </w:rPr>
        <w:t>lebih</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komprehensif</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terkait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independensi</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advokat</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dalam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sistem</w:t>
      </w:r>
      <w:proofErr w:type="spellEnd"/>
      <w:r w:rsidRPr="00993EEC">
        <w:rPr>
          <w:rFonts w:ascii="Times New Roman" w:eastAsia="Book Antiqua" w:hAnsi="Times New Roman" w:cs="Times New Roman"/>
          <w:color w:val="000000"/>
          <w:sz w:val="24"/>
          <w:szCs w:val="24"/>
        </w:rPr>
        <w:t xml:space="preserve"> </w:t>
      </w:r>
      <w:proofErr w:type="spellStart"/>
      <w:r w:rsidRPr="00993EEC">
        <w:rPr>
          <w:rFonts w:ascii="Times New Roman" w:eastAsia="Book Antiqua" w:hAnsi="Times New Roman" w:cs="Times New Roman"/>
          <w:color w:val="000000"/>
          <w:sz w:val="24"/>
          <w:szCs w:val="24"/>
        </w:rPr>
        <w:t>peradilan</w:t>
      </w:r>
      <w:proofErr w:type="spellEnd"/>
      <w:r w:rsidRPr="00993EEC">
        <w:rPr>
          <w:rFonts w:ascii="Times New Roman" w:eastAsia="Book Antiqua" w:hAnsi="Times New Roman" w:cs="Times New Roman"/>
          <w:color w:val="000000"/>
          <w:sz w:val="24"/>
          <w:szCs w:val="24"/>
        </w:rPr>
        <w:t xml:space="preserve"> Indonesia.</w:t>
      </w:r>
    </w:p>
    <w:p w14:paraId="71C715A7" w14:textId="77777777" w:rsidR="00257986" w:rsidRDefault="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619F9EE" w14:textId="49074909" w:rsidR="00F232DA" w:rsidRDefault="00186B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341CB692" w14:textId="72865FEB" w:rsidR="00257986" w:rsidRPr="00F4668F" w:rsidRDefault="00257986" w:rsidP="002579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F4668F">
        <w:rPr>
          <w:rFonts w:ascii="Times New Roman" w:hAnsi="Times New Roman" w:cs="Times New Roman"/>
          <w:sz w:val="24"/>
          <w:szCs w:val="24"/>
        </w:rPr>
        <w:t xml:space="preserve">Dalam </w:t>
      </w:r>
      <w:proofErr w:type="spellStart"/>
      <w:r w:rsidRPr="00F4668F">
        <w:rPr>
          <w:rFonts w:ascii="Times New Roman" w:eastAsia="Book Antiqua" w:hAnsi="Times New Roman" w:cs="Times New Roman"/>
          <w:color w:val="000000"/>
          <w:sz w:val="24"/>
          <w:szCs w:val="24"/>
        </w:rPr>
        <w:t>ranah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penegakan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hukum</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pembekuan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berita</w:t>
      </w:r>
      <w:proofErr w:type="spellEnd"/>
      <w:r w:rsidRPr="00F4668F">
        <w:rPr>
          <w:rFonts w:ascii="Times New Roman" w:hAnsi="Times New Roman" w:cs="Times New Roman"/>
          <w:sz w:val="24"/>
          <w:szCs w:val="24"/>
        </w:rPr>
        <w:t xml:space="preserve"> acara </w:t>
      </w:r>
      <w:proofErr w:type="spellStart"/>
      <w:r w:rsidRPr="00F4668F">
        <w:rPr>
          <w:rFonts w:ascii="Times New Roman" w:hAnsi="Times New Roman" w:cs="Times New Roman"/>
          <w:sz w:val="24"/>
          <w:szCs w:val="24"/>
        </w:rPr>
        <w:t>sumpah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advokat</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merupakan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fenomena</w:t>
      </w:r>
      <w:proofErr w:type="spellEnd"/>
      <w:r w:rsidRPr="00F4668F">
        <w:rPr>
          <w:rFonts w:ascii="Times New Roman" w:hAnsi="Times New Roman" w:cs="Times New Roman"/>
          <w:sz w:val="24"/>
          <w:szCs w:val="24"/>
        </w:rPr>
        <w:t xml:space="preserve"> yang </w:t>
      </w:r>
      <w:proofErr w:type="spellStart"/>
      <w:r w:rsidRPr="00F4668F">
        <w:rPr>
          <w:rFonts w:ascii="Times New Roman" w:hAnsi="Times New Roman" w:cs="Times New Roman"/>
          <w:sz w:val="24"/>
          <w:szCs w:val="24"/>
        </w:rPr>
        <w:t>tidak</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hanya</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menyentuh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aspek</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administratif</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profesi</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tetapi</w:t>
      </w:r>
      <w:proofErr w:type="spellEnd"/>
      <w:r w:rsidRPr="00F4668F">
        <w:rPr>
          <w:rFonts w:ascii="Times New Roman" w:hAnsi="Times New Roman" w:cs="Times New Roman"/>
          <w:sz w:val="24"/>
          <w:szCs w:val="24"/>
        </w:rPr>
        <w:t xml:space="preserve"> juga </w:t>
      </w:r>
      <w:proofErr w:type="spellStart"/>
      <w:r w:rsidRPr="00F4668F">
        <w:rPr>
          <w:rFonts w:ascii="Times New Roman" w:hAnsi="Times New Roman" w:cs="Times New Roman"/>
          <w:sz w:val="24"/>
          <w:szCs w:val="24"/>
        </w:rPr>
        <w:t>merambah</w:t>
      </w:r>
      <w:proofErr w:type="spellEnd"/>
      <w:r w:rsidRPr="00F4668F">
        <w:rPr>
          <w:rFonts w:ascii="Times New Roman" w:hAnsi="Times New Roman" w:cs="Times New Roman"/>
          <w:sz w:val="24"/>
          <w:szCs w:val="24"/>
        </w:rPr>
        <w:t xml:space="preserve"> pada </w:t>
      </w:r>
      <w:proofErr w:type="spellStart"/>
      <w:r w:rsidRPr="00F4668F">
        <w:rPr>
          <w:rFonts w:ascii="Times New Roman" w:hAnsi="Times New Roman" w:cs="Times New Roman"/>
          <w:sz w:val="24"/>
          <w:szCs w:val="24"/>
        </w:rPr>
        <w:t>dialektika</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hukum</w:t>
      </w:r>
      <w:proofErr w:type="spellEnd"/>
      <w:r w:rsidRPr="00F4668F">
        <w:rPr>
          <w:rFonts w:ascii="Times New Roman" w:hAnsi="Times New Roman" w:cs="Times New Roman"/>
          <w:sz w:val="24"/>
          <w:szCs w:val="24"/>
        </w:rPr>
        <w:t xml:space="preserve"> yang </w:t>
      </w:r>
      <w:proofErr w:type="spellStart"/>
      <w:r w:rsidRPr="00F4668F">
        <w:rPr>
          <w:rFonts w:ascii="Times New Roman" w:hAnsi="Times New Roman" w:cs="Times New Roman"/>
          <w:sz w:val="24"/>
          <w:szCs w:val="24"/>
        </w:rPr>
        <w:t>melibatkan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independensi</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advokat</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kewenangan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yudisial</w:t>
      </w:r>
      <w:proofErr w:type="spellEnd"/>
      <w:r w:rsidRPr="00F4668F">
        <w:rPr>
          <w:rFonts w:ascii="Times New Roman" w:hAnsi="Times New Roman" w:cs="Times New Roman"/>
          <w:sz w:val="24"/>
          <w:szCs w:val="24"/>
        </w:rPr>
        <w:t xml:space="preserve">, dan </w:t>
      </w:r>
      <w:proofErr w:type="spellStart"/>
      <w:r w:rsidRPr="00F4668F">
        <w:rPr>
          <w:rFonts w:ascii="Times New Roman" w:hAnsi="Times New Roman" w:cs="Times New Roman"/>
          <w:sz w:val="24"/>
          <w:szCs w:val="24"/>
        </w:rPr>
        <w:t>batas-batas</w:t>
      </w:r>
      <w:proofErr w:type="spellEnd"/>
      <w:r w:rsidRPr="00F4668F">
        <w:rPr>
          <w:rFonts w:ascii="Times New Roman" w:hAnsi="Times New Roman" w:cs="Times New Roman"/>
          <w:sz w:val="24"/>
          <w:szCs w:val="24"/>
        </w:rPr>
        <w:t xml:space="preserve"> </w:t>
      </w:r>
      <w:r w:rsidRPr="00F4668F">
        <w:rPr>
          <w:rFonts w:ascii="Times New Roman" w:hAnsi="Times New Roman" w:cs="Times New Roman"/>
          <w:i/>
          <w:iCs/>
          <w:sz w:val="24"/>
          <w:szCs w:val="24"/>
        </w:rPr>
        <w:t>contempt of court</w:t>
      </w:r>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Berdasarkan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kajian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normatif</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yuridis</w:t>
      </w:r>
      <w:proofErr w:type="spellEnd"/>
      <w:r w:rsidRPr="00F4668F">
        <w:rPr>
          <w:rFonts w:ascii="Times New Roman" w:hAnsi="Times New Roman" w:cs="Times New Roman"/>
          <w:sz w:val="24"/>
          <w:szCs w:val="24"/>
        </w:rPr>
        <w:t xml:space="preserve"> yang </w:t>
      </w:r>
      <w:proofErr w:type="spellStart"/>
      <w:r w:rsidRPr="00F4668F">
        <w:rPr>
          <w:rFonts w:ascii="Times New Roman" w:hAnsi="Times New Roman" w:cs="Times New Roman"/>
          <w:sz w:val="24"/>
          <w:szCs w:val="24"/>
        </w:rPr>
        <w:t>telah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dilakukan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peristiwa</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pembekuan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berita</w:t>
      </w:r>
      <w:proofErr w:type="spellEnd"/>
      <w:r w:rsidRPr="00F4668F">
        <w:rPr>
          <w:rFonts w:ascii="Times New Roman" w:hAnsi="Times New Roman" w:cs="Times New Roman"/>
          <w:sz w:val="24"/>
          <w:szCs w:val="24"/>
        </w:rPr>
        <w:t xml:space="preserve"> acara </w:t>
      </w:r>
      <w:proofErr w:type="spellStart"/>
      <w:r w:rsidRPr="00F4668F">
        <w:rPr>
          <w:rFonts w:ascii="Times New Roman" w:hAnsi="Times New Roman" w:cs="Times New Roman"/>
          <w:sz w:val="24"/>
          <w:szCs w:val="24"/>
        </w:rPr>
        <w:t>sumpah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advokat</w:t>
      </w:r>
      <w:proofErr w:type="spellEnd"/>
      <w:r w:rsidRPr="00F4668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dalam</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perkara</w:t>
      </w:r>
      <w:proofErr w:type="spellEnd"/>
      <w:r w:rsidRPr="00F4668F">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sidRPr="00F4668F">
        <w:rPr>
          <w:rFonts w:ascii="Times New Roman" w:hAnsi="Times New Roman" w:cs="Times New Roman"/>
          <w:sz w:val="24"/>
          <w:szCs w:val="24"/>
        </w:rPr>
        <w:t>: 1057/</w:t>
      </w:r>
      <w:proofErr w:type="spellStart"/>
      <w:r w:rsidRPr="00F4668F">
        <w:rPr>
          <w:rFonts w:ascii="Times New Roman" w:hAnsi="Times New Roman" w:cs="Times New Roman"/>
          <w:sz w:val="24"/>
          <w:szCs w:val="24"/>
        </w:rPr>
        <w:t>Pid.B</w:t>
      </w:r>
      <w:proofErr w:type="spellEnd"/>
      <w:r w:rsidRPr="00F4668F">
        <w:rPr>
          <w:rFonts w:ascii="Times New Roman" w:hAnsi="Times New Roman" w:cs="Times New Roman"/>
          <w:sz w:val="24"/>
          <w:szCs w:val="24"/>
        </w:rPr>
        <w:t>/2024/</w:t>
      </w:r>
      <w:proofErr w:type="spellStart"/>
      <w:proofErr w:type="gramStart"/>
      <w:r w:rsidRPr="00F4668F">
        <w:rPr>
          <w:rFonts w:ascii="Times New Roman" w:hAnsi="Times New Roman" w:cs="Times New Roman"/>
          <w:sz w:val="24"/>
          <w:szCs w:val="24"/>
        </w:rPr>
        <w:t>PN.Jkt.Utr</w:t>
      </w:r>
      <w:proofErr w:type="spellEnd"/>
      <w:proofErr w:type="gram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tidak</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dapat</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dilepaskan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dari</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tarik-menarik</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antara</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supremasi</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pengadilan</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dalam</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menjaga</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marwah</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peradilan</w:t>
      </w:r>
      <w:proofErr w:type="spellEnd"/>
      <w:r w:rsidRPr="00F4668F">
        <w:rPr>
          <w:rFonts w:ascii="Times New Roman" w:hAnsi="Times New Roman" w:cs="Times New Roman"/>
          <w:sz w:val="24"/>
          <w:szCs w:val="24"/>
        </w:rPr>
        <w:t xml:space="preserve"> dan </w:t>
      </w:r>
      <w:proofErr w:type="spellStart"/>
      <w:r w:rsidRPr="00F4668F">
        <w:rPr>
          <w:rFonts w:ascii="Times New Roman" w:hAnsi="Times New Roman" w:cs="Times New Roman"/>
          <w:sz w:val="24"/>
          <w:szCs w:val="24"/>
        </w:rPr>
        <w:t>hak</w:t>
      </w:r>
      <w:proofErr w:type="spellEnd"/>
      <w:r w:rsidRPr="00F4668F">
        <w:rPr>
          <w:rFonts w:ascii="Times New Roman" w:hAnsi="Times New Roman" w:cs="Times New Roman"/>
          <w:sz w:val="24"/>
          <w:szCs w:val="24"/>
        </w:rPr>
        <w:t xml:space="preserve"> fundamental </w:t>
      </w:r>
      <w:proofErr w:type="spellStart"/>
      <w:r w:rsidRPr="00F4668F">
        <w:rPr>
          <w:rFonts w:ascii="Times New Roman" w:hAnsi="Times New Roman" w:cs="Times New Roman"/>
          <w:sz w:val="24"/>
          <w:szCs w:val="24"/>
        </w:rPr>
        <w:t>advokat</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sebagai</w:t>
      </w:r>
      <w:proofErr w:type="spellEnd"/>
      <w:r w:rsidRPr="00F4668F">
        <w:rPr>
          <w:rFonts w:ascii="Times New Roman" w:hAnsi="Times New Roman" w:cs="Times New Roman"/>
          <w:sz w:val="24"/>
          <w:szCs w:val="24"/>
        </w:rPr>
        <w:t xml:space="preserve"> </w:t>
      </w:r>
      <w:r w:rsidRPr="00F4668F">
        <w:rPr>
          <w:rFonts w:ascii="Times New Roman" w:hAnsi="Times New Roman" w:cs="Times New Roman"/>
          <w:i/>
          <w:iCs/>
          <w:sz w:val="24"/>
          <w:szCs w:val="24"/>
        </w:rPr>
        <w:t xml:space="preserve">officium </w:t>
      </w:r>
      <w:proofErr w:type="spellStart"/>
      <w:r w:rsidRPr="00F4668F">
        <w:rPr>
          <w:rFonts w:ascii="Times New Roman" w:hAnsi="Times New Roman" w:cs="Times New Roman"/>
          <w:i/>
          <w:iCs/>
          <w:sz w:val="24"/>
          <w:szCs w:val="24"/>
        </w:rPr>
        <w:t>nobile</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dalam</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sistem</w:t>
      </w:r>
      <w:proofErr w:type="spellEnd"/>
      <w:r w:rsidRPr="00F4668F">
        <w:rPr>
          <w:rFonts w:ascii="Times New Roman" w:hAnsi="Times New Roman" w:cs="Times New Roman"/>
          <w:sz w:val="24"/>
          <w:szCs w:val="24"/>
        </w:rPr>
        <w:t xml:space="preserve"> </w:t>
      </w:r>
      <w:proofErr w:type="spellStart"/>
      <w:r w:rsidRPr="00F4668F">
        <w:rPr>
          <w:rFonts w:ascii="Times New Roman" w:hAnsi="Times New Roman" w:cs="Times New Roman"/>
          <w:sz w:val="24"/>
          <w:szCs w:val="24"/>
        </w:rPr>
        <w:t>hukum</w:t>
      </w:r>
      <w:proofErr w:type="spellEnd"/>
      <w:r w:rsidRPr="00F4668F">
        <w:rPr>
          <w:rFonts w:ascii="Times New Roman" w:hAnsi="Times New Roman" w:cs="Times New Roman"/>
          <w:sz w:val="24"/>
          <w:szCs w:val="24"/>
        </w:rPr>
        <w:t xml:space="preserve"> Indonesia.</w:t>
      </w:r>
    </w:p>
    <w:p w14:paraId="4C94BE6E" w14:textId="77777777" w:rsidR="00257986" w:rsidRPr="00F4668F" w:rsidRDefault="00257986" w:rsidP="00257986">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roofErr w:type="spellStart"/>
      <w:r w:rsidRPr="00257986">
        <w:rPr>
          <w:rFonts w:ascii="Times New Roman" w:eastAsia="Times New Roman" w:hAnsi="Times New Roman" w:cs="Times New Roman"/>
          <w:b/>
          <w:color w:val="000000"/>
          <w:sz w:val="24"/>
          <w:szCs w:val="24"/>
        </w:rPr>
        <w:t>Independensi</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Advokat</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dalam</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Kontestasi</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Yudisial</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Sebuah</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Paradoks</w:t>
      </w:r>
      <w:proofErr w:type="spellEnd"/>
    </w:p>
    <w:p w14:paraId="015A4F11" w14:textId="26B563BB"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merupakan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elemen</w:t>
      </w:r>
      <w:proofErr w:type="spellEnd"/>
      <w:r w:rsidRPr="001835F1">
        <w:rPr>
          <w:rFonts w:ascii="Times New Roman" w:hAnsi="Times New Roman" w:cs="Times New Roman"/>
          <w:sz w:val="24"/>
          <w:szCs w:val="24"/>
        </w:rPr>
        <w:t xml:space="preserve"> fundamental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sistem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demokratis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berperan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sebagai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penegak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bebas</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mandiri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sebagaimana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diatur</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sidRPr="001835F1">
        <w:rPr>
          <w:rFonts w:ascii="Times New Roman" w:hAnsi="Times New Roman" w:cs="Times New Roman"/>
          <w:sz w:val="24"/>
          <w:szCs w:val="24"/>
        </w:rPr>
        <w:t>Undang-Undang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Nomor</w:t>
      </w:r>
      <w:proofErr w:type="spellEnd"/>
      <w:r w:rsidRPr="001835F1">
        <w:rPr>
          <w:rFonts w:ascii="Times New Roman" w:hAnsi="Times New Roman" w:cs="Times New Roman"/>
          <w:sz w:val="24"/>
          <w:szCs w:val="24"/>
        </w:rPr>
        <w:t xml:space="preserve"> 18 </w:t>
      </w:r>
      <w:proofErr w:type="spellStart"/>
      <w:r w:rsidRPr="001835F1">
        <w:rPr>
          <w:rFonts w:ascii="Times New Roman" w:hAnsi="Times New Roman" w:cs="Times New Roman"/>
          <w:sz w:val="24"/>
          <w:szCs w:val="24"/>
        </w:rPr>
        <w:t>Tahun</w:t>
      </w:r>
      <w:proofErr w:type="spellEnd"/>
      <w:r w:rsidRPr="001835F1">
        <w:rPr>
          <w:rFonts w:ascii="Times New Roman" w:hAnsi="Times New Roman" w:cs="Times New Roman"/>
          <w:sz w:val="24"/>
          <w:szCs w:val="24"/>
        </w:rPr>
        <w:t xml:space="preserve"> 2003 </w:t>
      </w:r>
      <w:proofErr w:type="spellStart"/>
      <w:r w:rsidRPr="001835F1">
        <w:rPr>
          <w:rFonts w:ascii="Times New Roman" w:hAnsi="Times New Roman" w:cs="Times New Roman"/>
          <w:sz w:val="24"/>
          <w:szCs w:val="24"/>
        </w:rPr>
        <w:t>tentang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Indonesia","given":"","non-dropping-particle":"","parse-names":false,"suffix":""}],"id":"ITEM-1","issued":{"date-parts":[["2003"]]},"number":"18","page":"1-23","publisher-place":"Indonesia","title":"Undang-Undang Nomor 18 Tahun 2003 Tentang Advokat","type":"legislation"},"locator":"1-23","uris":["http://www.mendeley.com/documents/?uuid=4763239d-6034-4bd1-b9f9-5ee80045780d"]}],"mendeley":{"formattedCitation":"[16, pp. 1–23]","plainTextFormattedCitation":"[16, pp. 1–23]","previouslyFormattedCitation":"[16, pp. 1–23]"},"properties":{"noteIndex":0},"schema":"https://github.com/citation-style-language/schema/raw/master/csl-citation.json"}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[16, pp. 1–23]</w:t>
      </w:r>
      <w:r>
        <w:rPr>
          <w:rFonts w:ascii="Times New Roman" w:hAnsi="Times New Roman" w:cs="Times New Roman"/>
          <w:sz w:val="24"/>
          <w:szCs w:val="24"/>
        </w:rPr>
        <w:fldChar w:fldCharType="end"/>
      </w:r>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Prinsip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mengamanatkan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bahwa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menjalankan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tugasnya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harus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terbebas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segala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tekanan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eksekutif</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legislatif</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maupun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yudikatif</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Namun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kasus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pembekuan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berita</w:t>
      </w:r>
      <w:proofErr w:type="spellEnd"/>
      <w:r w:rsidRPr="001835F1">
        <w:rPr>
          <w:rFonts w:ascii="Times New Roman" w:hAnsi="Times New Roman" w:cs="Times New Roman"/>
          <w:sz w:val="24"/>
          <w:szCs w:val="24"/>
        </w:rPr>
        <w:t xml:space="preserve"> acara </w:t>
      </w:r>
      <w:proofErr w:type="spellStart"/>
      <w:r w:rsidRPr="001835F1">
        <w:rPr>
          <w:rFonts w:ascii="Times New Roman" w:hAnsi="Times New Roman" w:cs="Times New Roman"/>
          <w:sz w:val="24"/>
          <w:szCs w:val="24"/>
        </w:rPr>
        <w:t>sumpah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menimpa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Razman</w:t>
      </w:r>
      <w:proofErr w:type="spellEnd"/>
      <w:r w:rsidRPr="001835F1">
        <w:rPr>
          <w:rFonts w:ascii="Times New Roman" w:hAnsi="Times New Roman" w:cs="Times New Roman"/>
          <w:sz w:val="24"/>
          <w:szCs w:val="24"/>
        </w:rPr>
        <w:t xml:space="preserve"> Arif Nasution dan Firdaus </w:t>
      </w:r>
      <w:proofErr w:type="spellStart"/>
      <w:r w:rsidRPr="001835F1">
        <w:rPr>
          <w:rFonts w:ascii="Times New Roman" w:hAnsi="Times New Roman" w:cs="Times New Roman"/>
          <w:sz w:val="24"/>
          <w:szCs w:val="24"/>
        </w:rPr>
        <w:t>Oiwobo</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menampilkan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realitas</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paradoksal</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berhadapan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langsung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otoritas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yudisial</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suatu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kontestasi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mempertaruhkan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legitimasi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keduanya</w:t>
      </w:r>
      <w:proofErr w:type="spellEnd"/>
      <w:r w:rsidRPr="001835F1">
        <w:rPr>
          <w:rFonts w:ascii="Times New Roman" w:hAnsi="Times New Roman" w:cs="Times New Roman"/>
          <w:sz w:val="24"/>
          <w:szCs w:val="24"/>
        </w:rPr>
        <w:t>.</w:t>
      </w:r>
    </w:p>
    <w:p w14:paraId="0097EF22" w14:textId="77777777"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1835F1">
        <w:rPr>
          <w:rFonts w:ascii="Times New Roman" w:hAnsi="Times New Roman" w:cs="Times New Roman"/>
          <w:sz w:val="24"/>
          <w:szCs w:val="24"/>
        </w:rPr>
        <w:t>Pembekuan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berita</w:t>
      </w:r>
      <w:proofErr w:type="spellEnd"/>
      <w:r w:rsidRPr="001835F1">
        <w:rPr>
          <w:rFonts w:ascii="Times New Roman" w:hAnsi="Times New Roman" w:cs="Times New Roman"/>
          <w:sz w:val="24"/>
          <w:szCs w:val="24"/>
        </w:rPr>
        <w:t xml:space="preserve"> acara </w:t>
      </w:r>
      <w:proofErr w:type="spellStart"/>
      <w:r w:rsidRPr="001835F1">
        <w:rPr>
          <w:rFonts w:ascii="Times New Roman" w:hAnsi="Times New Roman" w:cs="Times New Roman"/>
          <w:sz w:val="24"/>
          <w:szCs w:val="24"/>
        </w:rPr>
        <w:t>sumpah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oleh </w:t>
      </w:r>
      <w:proofErr w:type="spellStart"/>
      <w:r w:rsidRPr="001835F1">
        <w:rPr>
          <w:rFonts w:ascii="Times New Roman" w:hAnsi="Times New Roman" w:cs="Times New Roman"/>
          <w:sz w:val="24"/>
          <w:szCs w:val="24"/>
        </w:rPr>
        <w:t>Ketua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Tinggi Ambon dan </w:t>
      </w:r>
      <w:proofErr w:type="spellStart"/>
      <w:r w:rsidRPr="001835F1">
        <w:rPr>
          <w:rFonts w:ascii="Times New Roman" w:hAnsi="Times New Roman" w:cs="Times New Roman"/>
          <w:sz w:val="24"/>
          <w:szCs w:val="24"/>
        </w:rPr>
        <w:t>Ketua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Tinggi Banten </w:t>
      </w:r>
      <w:proofErr w:type="spellStart"/>
      <w:r w:rsidRPr="001835F1">
        <w:rPr>
          <w:rFonts w:ascii="Times New Roman" w:hAnsi="Times New Roman" w:cs="Times New Roman"/>
          <w:sz w:val="24"/>
          <w:szCs w:val="24"/>
        </w:rPr>
        <w:t>menimbulkan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perdebatan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kompleks</w:t>
      </w:r>
      <w:proofErr w:type="spellEnd"/>
      <w:r w:rsidRPr="001835F1">
        <w:rPr>
          <w:rFonts w:ascii="Times New Roman" w:hAnsi="Times New Roman" w:cs="Times New Roman"/>
          <w:sz w:val="24"/>
          <w:szCs w:val="24"/>
        </w:rPr>
        <w:t xml:space="preserve">. Keputusan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didasarkan</w:t>
      </w:r>
      <w:proofErr w:type="spellEnd"/>
      <w:r w:rsidRPr="001835F1">
        <w:rPr>
          <w:rFonts w:ascii="Times New Roman" w:hAnsi="Times New Roman" w:cs="Times New Roman"/>
          <w:sz w:val="24"/>
          <w:szCs w:val="24"/>
        </w:rPr>
        <w:t xml:space="preserve"> pada </w:t>
      </w:r>
      <w:proofErr w:type="spellStart"/>
      <w:r w:rsidRPr="001835F1">
        <w:rPr>
          <w:rFonts w:ascii="Times New Roman" w:hAnsi="Times New Roman" w:cs="Times New Roman"/>
          <w:sz w:val="24"/>
          <w:szCs w:val="24"/>
        </w:rPr>
        <w:t>argumentasi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bahwa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kedua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persidangan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perkara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Nomor</w:t>
      </w:r>
      <w:proofErr w:type="spellEnd"/>
      <w:r w:rsidRPr="001835F1">
        <w:rPr>
          <w:rFonts w:ascii="Times New Roman" w:hAnsi="Times New Roman" w:cs="Times New Roman"/>
          <w:sz w:val="24"/>
          <w:szCs w:val="24"/>
        </w:rPr>
        <w:t xml:space="preserve">: </w:t>
      </w:r>
      <w:r w:rsidRPr="001835F1">
        <w:rPr>
          <w:rFonts w:ascii="Times New Roman" w:hAnsi="Times New Roman" w:cs="Times New Roman"/>
          <w:sz w:val="24"/>
          <w:szCs w:val="24"/>
        </w:rPr>
        <w:lastRenderedPageBreak/>
        <w:t>1057/</w:t>
      </w:r>
      <w:proofErr w:type="spellStart"/>
      <w:r w:rsidRPr="001835F1">
        <w:rPr>
          <w:rFonts w:ascii="Times New Roman" w:hAnsi="Times New Roman" w:cs="Times New Roman"/>
          <w:sz w:val="24"/>
          <w:szCs w:val="24"/>
        </w:rPr>
        <w:t>Pid.B</w:t>
      </w:r>
      <w:proofErr w:type="spellEnd"/>
      <w:r w:rsidRPr="001835F1">
        <w:rPr>
          <w:rFonts w:ascii="Times New Roman" w:hAnsi="Times New Roman" w:cs="Times New Roman"/>
          <w:sz w:val="24"/>
          <w:szCs w:val="24"/>
        </w:rPr>
        <w:t>/2024/</w:t>
      </w:r>
      <w:proofErr w:type="spellStart"/>
      <w:proofErr w:type="gramStart"/>
      <w:r w:rsidRPr="001835F1">
        <w:rPr>
          <w:rFonts w:ascii="Times New Roman" w:hAnsi="Times New Roman" w:cs="Times New Roman"/>
          <w:sz w:val="24"/>
          <w:szCs w:val="24"/>
        </w:rPr>
        <w:t>PN.Jkt.Utr</w:t>
      </w:r>
      <w:proofErr w:type="spellEnd"/>
      <w:proofErr w:type="gram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telah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menimbulkan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kegaduhan</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mengancam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marwah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w:t>
      </w:r>
      <w:r w:rsidRPr="001261C2">
        <w:rPr>
          <w:rFonts w:ascii="Times New Roman" w:hAnsi="Times New Roman" w:cs="Times New Roman"/>
          <w:sz w:val="24"/>
          <w:szCs w:val="24"/>
        </w:rPr>
        <w:t xml:space="preserve">Dalam </w:t>
      </w:r>
      <w:proofErr w:type="spellStart"/>
      <w:r w:rsidRPr="001261C2">
        <w:rPr>
          <w:rFonts w:ascii="Times New Roman" w:hAnsi="Times New Roman" w:cs="Times New Roman"/>
          <w:sz w:val="24"/>
          <w:szCs w:val="24"/>
        </w:rPr>
        <w:t>konteks</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ini</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tindakan</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pembekuan</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berita</w:t>
      </w:r>
      <w:proofErr w:type="spellEnd"/>
      <w:r w:rsidRPr="001261C2">
        <w:rPr>
          <w:rFonts w:ascii="Times New Roman" w:hAnsi="Times New Roman" w:cs="Times New Roman"/>
          <w:sz w:val="24"/>
          <w:szCs w:val="24"/>
        </w:rPr>
        <w:t xml:space="preserve"> acara </w:t>
      </w:r>
      <w:proofErr w:type="spellStart"/>
      <w:r w:rsidRPr="001261C2">
        <w:rPr>
          <w:rFonts w:ascii="Times New Roman" w:hAnsi="Times New Roman" w:cs="Times New Roman"/>
          <w:sz w:val="24"/>
          <w:szCs w:val="24"/>
        </w:rPr>
        <w:t>sumpah</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advokat</w:t>
      </w:r>
      <w:proofErr w:type="spellEnd"/>
      <w:r w:rsidRPr="001261C2">
        <w:rPr>
          <w:rFonts w:ascii="Times New Roman" w:hAnsi="Times New Roman" w:cs="Times New Roman"/>
          <w:sz w:val="24"/>
          <w:szCs w:val="24"/>
        </w:rPr>
        <w:t xml:space="preserve"> oleh </w:t>
      </w:r>
      <w:proofErr w:type="spellStart"/>
      <w:r w:rsidRPr="001261C2">
        <w:rPr>
          <w:rFonts w:ascii="Times New Roman" w:hAnsi="Times New Roman" w:cs="Times New Roman"/>
          <w:sz w:val="24"/>
          <w:szCs w:val="24"/>
        </w:rPr>
        <w:t>pengadilan</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tinggi</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menjadi</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bagian</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dari</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langkah</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afirmatif</w:t>
      </w:r>
      <w:proofErr w:type="spellEnd"/>
      <w:r w:rsidRPr="001261C2">
        <w:rPr>
          <w:rFonts w:ascii="Times New Roman" w:hAnsi="Times New Roman" w:cs="Times New Roman"/>
          <w:sz w:val="24"/>
          <w:szCs w:val="24"/>
        </w:rPr>
        <w:t xml:space="preserve"> yang </w:t>
      </w:r>
      <w:proofErr w:type="spellStart"/>
      <w:r w:rsidRPr="001261C2">
        <w:rPr>
          <w:rFonts w:ascii="Times New Roman" w:hAnsi="Times New Roman" w:cs="Times New Roman"/>
          <w:sz w:val="24"/>
          <w:szCs w:val="24"/>
        </w:rPr>
        <w:t>diambil</w:t>
      </w:r>
      <w:proofErr w:type="spellEnd"/>
      <w:r w:rsidRPr="001261C2">
        <w:rPr>
          <w:rFonts w:ascii="Times New Roman" w:hAnsi="Times New Roman" w:cs="Times New Roman"/>
          <w:sz w:val="24"/>
          <w:szCs w:val="24"/>
        </w:rPr>
        <w:t xml:space="preserve"> demi </w:t>
      </w:r>
      <w:proofErr w:type="spellStart"/>
      <w:r w:rsidRPr="001261C2">
        <w:rPr>
          <w:rFonts w:ascii="Times New Roman" w:hAnsi="Times New Roman" w:cs="Times New Roman"/>
          <w:sz w:val="24"/>
          <w:szCs w:val="24"/>
        </w:rPr>
        <w:t>menjaga</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marwah</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institusi</w:t>
      </w:r>
      <w:proofErr w:type="spellEnd"/>
      <w:r w:rsidRPr="001261C2">
        <w:rPr>
          <w:rFonts w:ascii="Times New Roman" w:hAnsi="Times New Roman" w:cs="Times New Roman"/>
          <w:sz w:val="24"/>
          <w:szCs w:val="24"/>
        </w:rPr>
        <w:t xml:space="preserve"> </w:t>
      </w:r>
      <w:proofErr w:type="spellStart"/>
      <w:r w:rsidRPr="001261C2">
        <w:rPr>
          <w:rFonts w:ascii="Times New Roman" w:hAnsi="Times New Roman" w:cs="Times New Roman"/>
          <w:sz w:val="24"/>
          <w:szCs w:val="24"/>
        </w:rPr>
        <w:t>peradilan</w:t>
      </w:r>
      <w:proofErr w:type="spellEnd"/>
      <w:r w:rsidRPr="001261C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Namun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perspektif</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profesi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tersebut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justru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dianggap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sebagai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pembungkaman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menjalankan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tugasnya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Situasi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memunculkan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pertanyaan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mendasar</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sejauh</w:t>
      </w:r>
      <w:proofErr w:type="spellEnd"/>
      <w:r w:rsidRPr="001835F1">
        <w:rPr>
          <w:rFonts w:ascii="Times New Roman" w:hAnsi="Times New Roman" w:cs="Times New Roman"/>
          <w:sz w:val="24"/>
          <w:szCs w:val="24"/>
        </w:rPr>
        <w:t xml:space="preserve"> mana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memiliki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kewenangan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untuk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mencabut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atau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membekukan</w:t>
      </w:r>
      <w:proofErr w:type="spellEnd"/>
      <w:r w:rsidRPr="001835F1">
        <w:rPr>
          <w:rFonts w:ascii="Times New Roman" w:hAnsi="Times New Roman" w:cs="Times New Roman"/>
          <w:sz w:val="24"/>
          <w:szCs w:val="24"/>
        </w:rPr>
        <w:t xml:space="preserve"> status </w:t>
      </w:r>
      <w:proofErr w:type="spellStart"/>
      <w:r w:rsidRPr="001835F1">
        <w:rPr>
          <w:rFonts w:ascii="Times New Roman" w:hAnsi="Times New Roman" w:cs="Times New Roman"/>
          <w:sz w:val="24"/>
          <w:szCs w:val="24"/>
        </w:rPr>
        <w:t>seorang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telah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disumpah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secara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sah</w:t>
      </w:r>
      <w:proofErr w:type="spellEnd"/>
      <w:r w:rsidRPr="001835F1">
        <w:rPr>
          <w:rFonts w:ascii="Times New Roman" w:hAnsi="Times New Roman" w:cs="Times New Roman"/>
          <w:sz w:val="24"/>
          <w:szCs w:val="24"/>
        </w:rPr>
        <w:t>?</w:t>
      </w:r>
    </w:p>
    <w:p w14:paraId="5FBDA86B" w14:textId="77777777"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1835F1">
        <w:rPr>
          <w:rFonts w:ascii="Times New Roman" w:hAnsi="Times New Roman" w:cs="Times New Roman"/>
          <w:sz w:val="24"/>
          <w:szCs w:val="24"/>
        </w:rPr>
        <w:t xml:space="preserve">Dalam </w:t>
      </w:r>
      <w:proofErr w:type="spellStart"/>
      <w:r w:rsidRPr="001835F1">
        <w:rPr>
          <w:rFonts w:ascii="Times New Roman" w:hAnsi="Times New Roman" w:cs="Times New Roman"/>
          <w:sz w:val="24"/>
          <w:szCs w:val="24"/>
        </w:rPr>
        <w:t>konteks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normatif</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kewenangan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untuk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memberikan</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mencabut</w:t>
      </w:r>
      <w:proofErr w:type="spellEnd"/>
      <w:r w:rsidRPr="001835F1">
        <w:rPr>
          <w:rFonts w:ascii="Times New Roman" w:hAnsi="Times New Roman" w:cs="Times New Roman"/>
          <w:sz w:val="24"/>
          <w:szCs w:val="24"/>
        </w:rPr>
        <w:t xml:space="preserve"> status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secara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prinsip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berada</w:t>
      </w:r>
      <w:proofErr w:type="spellEnd"/>
      <w:r w:rsidRPr="001835F1">
        <w:rPr>
          <w:rFonts w:ascii="Times New Roman" w:hAnsi="Times New Roman" w:cs="Times New Roman"/>
          <w:sz w:val="24"/>
          <w:szCs w:val="24"/>
        </w:rPr>
        <w:t xml:space="preserve"> di </w:t>
      </w:r>
      <w:proofErr w:type="spellStart"/>
      <w:r w:rsidRPr="001835F1">
        <w:rPr>
          <w:rFonts w:ascii="Times New Roman" w:hAnsi="Times New Roman" w:cs="Times New Roman"/>
          <w:sz w:val="24"/>
          <w:szCs w:val="24"/>
        </w:rPr>
        <w:t>ranah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organisasi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bukan</w:t>
      </w:r>
      <w:proofErr w:type="spellEnd"/>
      <w:r w:rsidRPr="001835F1">
        <w:rPr>
          <w:rFonts w:ascii="Times New Roman" w:hAnsi="Times New Roman" w:cs="Times New Roman"/>
          <w:sz w:val="24"/>
          <w:szCs w:val="24"/>
        </w:rPr>
        <w:t xml:space="preserve"> di </w:t>
      </w:r>
      <w:proofErr w:type="spellStart"/>
      <w:r w:rsidRPr="001835F1">
        <w:rPr>
          <w:rFonts w:ascii="Times New Roman" w:hAnsi="Times New Roman" w:cs="Times New Roman"/>
          <w:sz w:val="24"/>
          <w:szCs w:val="24"/>
        </w:rPr>
        <w:t>tangan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Pasal</w:t>
      </w:r>
      <w:proofErr w:type="spellEnd"/>
      <w:r w:rsidRPr="001835F1">
        <w:rPr>
          <w:rFonts w:ascii="Times New Roman" w:hAnsi="Times New Roman" w:cs="Times New Roman"/>
          <w:sz w:val="24"/>
          <w:szCs w:val="24"/>
        </w:rPr>
        <w:t xml:space="preserve"> </w:t>
      </w:r>
      <w:r>
        <w:rPr>
          <w:rFonts w:ascii="Times New Roman" w:hAnsi="Times New Roman" w:cs="Times New Roman"/>
          <w:sz w:val="24"/>
          <w:szCs w:val="24"/>
        </w:rPr>
        <w:t>12</w:t>
      </w:r>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ayat</w:t>
      </w:r>
      <w:proofErr w:type="spellEnd"/>
      <w:r w:rsidRPr="001835F1">
        <w:rPr>
          <w:rFonts w:ascii="Times New Roman" w:hAnsi="Times New Roman" w:cs="Times New Roman"/>
          <w:sz w:val="24"/>
          <w:szCs w:val="24"/>
        </w:rPr>
        <w:t xml:space="preserve"> (1) </w:t>
      </w:r>
      <w:proofErr w:type="spellStart"/>
      <w:r w:rsidRPr="001835F1">
        <w:rPr>
          <w:rFonts w:ascii="Times New Roman" w:hAnsi="Times New Roman" w:cs="Times New Roman"/>
          <w:sz w:val="24"/>
          <w:szCs w:val="24"/>
        </w:rPr>
        <w:t>Undang-Undang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Nomor</w:t>
      </w:r>
      <w:proofErr w:type="spellEnd"/>
      <w:r w:rsidRPr="001835F1">
        <w:rPr>
          <w:rFonts w:ascii="Times New Roman" w:hAnsi="Times New Roman" w:cs="Times New Roman"/>
          <w:sz w:val="24"/>
          <w:szCs w:val="24"/>
        </w:rPr>
        <w:t xml:space="preserve"> 18 </w:t>
      </w:r>
      <w:proofErr w:type="spellStart"/>
      <w:r w:rsidRPr="001835F1">
        <w:rPr>
          <w:rFonts w:ascii="Times New Roman" w:hAnsi="Times New Roman" w:cs="Times New Roman"/>
          <w:sz w:val="24"/>
          <w:szCs w:val="24"/>
        </w:rPr>
        <w:t>Tahun</w:t>
      </w:r>
      <w:proofErr w:type="spellEnd"/>
      <w:r w:rsidRPr="001835F1">
        <w:rPr>
          <w:rFonts w:ascii="Times New Roman" w:hAnsi="Times New Roman" w:cs="Times New Roman"/>
          <w:sz w:val="24"/>
          <w:szCs w:val="24"/>
        </w:rPr>
        <w:t xml:space="preserve"> 2003 </w:t>
      </w:r>
      <w:proofErr w:type="spellStart"/>
      <w:r w:rsidRPr="001835F1">
        <w:rPr>
          <w:rFonts w:ascii="Times New Roman" w:hAnsi="Times New Roman" w:cs="Times New Roman"/>
          <w:sz w:val="24"/>
          <w:szCs w:val="24"/>
        </w:rPr>
        <w:t>tentang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menyatakan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bahwa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pengawasan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terhadap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dilakukan</w:t>
      </w:r>
      <w:proofErr w:type="spellEnd"/>
      <w:r w:rsidRPr="001835F1">
        <w:rPr>
          <w:rFonts w:ascii="Times New Roman" w:hAnsi="Times New Roman" w:cs="Times New Roman"/>
          <w:sz w:val="24"/>
          <w:szCs w:val="24"/>
        </w:rPr>
        <w:t xml:space="preserve"> oleh </w:t>
      </w:r>
      <w:proofErr w:type="spellStart"/>
      <w:r w:rsidRPr="001835F1">
        <w:rPr>
          <w:rFonts w:ascii="Times New Roman" w:hAnsi="Times New Roman" w:cs="Times New Roman"/>
          <w:sz w:val="24"/>
          <w:szCs w:val="24"/>
        </w:rPr>
        <w:t>organisasi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bukan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lembaga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Oleh </w:t>
      </w:r>
      <w:proofErr w:type="spellStart"/>
      <w:r w:rsidRPr="001835F1">
        <w:rPr>
          <w:rFonts w:ascii="Times New Roman" w:hAnsi="Times New Roman" w:cs="Times New Roman"/>
          <w:sz w:val="24"/>
          <w:szCs w:val="24"/>
        </w:rPr>
        <w:t>karena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itu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pembekuan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berita</w:t>
      </w:r>
      <w:proofErr w:type="spellEnd"/>
      <w:r w:rsidRPr="001835F1">
        <w:rPr>
          <w:rFonts w:ascii="Times New Roman" w:hAnsi="Times New Roman" w:cs="Times New Roman"/>
          <w:sz w:val="24"/>
          <w:szCs w:val="24"/>
        </w:rPr>
        <w:t xml:space="preserve"> acara </w:t>
      </w:r>
      <w:proofErr w:type="spellStart"/>
      <w:r w:rsidRPr="001835F1">
        <w:rPr>
          <w:rFonts w:ascii="Times New Roman" w:hAnsi="Times New Roman" w:cs="Times New Roman"/>
          <w:sz w:val="24"/>
          <w:szCs w:val="24"/>
        </w:rPr>
        <w:t>sumpah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dilakukan</w:t>
      </w:r>
      <w:proofErr w:type="spellEnd"/>
      <w:r w:rsidRPr="001835F1">
        <w:rPr>
          <w:rFonts w:ascii="Times New Roman" w:hAnsi="Times New Roman" w:cs="Times New Roman"/>
          <w:sz w:val="24"/>
          <w:szCs w:val="24"/>
        </w:rPr>
        <w:t xml:space="preserve"> oleh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tinggi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memicu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kontroversi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yuridis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karena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berpotensi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bertentangan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prinsip</w:t>
      </w:r>
      <w:proofErr w:type="spellEnd"/>
      <w:r w:rsidRPr="001835F1">
        <w:rPr>
          <w:rFonts w:ascii="Times New Roman" w:hAnsi="Times New Roman" w:cs="Times New Roman"/>
          <w:sz w:val="24"/>
          <w:szCs w:val="24"/>
        </w:rPr>
        <w:t xml:space="preserve"> </w:t>
      </w:r>
      <w:r w:rsidRPr="00862902">
        <w:rPr>
          <w:rFonts w:ascii="Times New Roman" w:hAnsi="Times New Roman" w:cs="Times New Roman"/>
          <w:i/>
          <w:iCs/>
          <w:sz w:val="24"/>
          <w:szCs w:val="24"/>
        </w:rPr>
        <w:t>self-regulation</w:t>
      </w:r>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profesi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w:t>
      </w:r>
    </w:p>
    <w:p w14:paraId="09F2F7A3" w14:textId="77777777"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1835F1">
        <w:rPr>
          <w:rFonts w:ascii="Times New Roman" w:hAnsi="Times New Roman" w:cs="Times New Roman"/>
          <w:sz w:val="24"/>
          <w:szCs w:val="24"/>
        </w:rPr>
        <w:t>Lebih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lanjut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dapat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dilihat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perspektif</w:t>
      </w:r>
      <w:proofErr w:type="spellEnd"/>
      <w:r w:rsidRPr="001835F1">
        <w:rPr>
          <w:rFonts w:ascii="Times New Roman" w:hAnsi="Times New Roman" w:cs="Times New Roman"/>
          <w:sz w:val="24"/>
          <w:szCs w:val="24"/>
        </w:rPr>
        <w:t xml:space="preserve"> </w:t>
      </w:r>
      <w:r w:rsidRPr="00862902">
        <w:rPr>
          <w:rFonts w:ascii="Times New Roman" w:hAnsi="Times New Roman" w:cs="Times New Roman"/>
          <w:i/>
          <w:iCs/>
          <w:sz w:val="24"/>
          <w:szCs w:val="24"/>
        </w:rPr>
        <w:t>contempt of court</w:t>
      </w:r>
      <w:r w:rsidRPr="001835F1">
        <w:rPr>
          <w:rFonts w:ascii="Times New Roman" w:hAnsi="Times New Roman" w:cs="Times New Roman"/>
          <w:sz w:val="24"/>
          <w:szCs w:val="24"/>
        </w:rPr>
        <w:t xml:space="preserve">, di mana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dinilai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menciptakan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kegaduhan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persidangan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dapat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dikenakan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sanksi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etik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atau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bahkan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pidana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Namun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sistem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menjunjung</w:t>
      </w:r>
      <w:proofErr w:type="spellEnd"/>
      <w:r w:rsidRPr="001835F1">
        <w:rPr>
          <w:rFonts w:ascii="Times New Roman" w:hAnsi="Times New Roman" w:cs="Times New Roman"/>
          <w:sz w:val="24"/>
          <w:szCs w:val="24"/>
        </w:rPr>
        <w:t xml:space="preserve"> </w:t>
      </w:r>
      <w:r w:rsidRPr="00862902">
        <w:rPr>
          <w:rFonts w:ascii="Times New Roman" w:hAnsi="Times New Roman" w:cs="Times New Roman"/>
          <w:i/>
          <w:iCs/>
          <w:sz w:val="24"/>
          <w:szCs w:val="24"/>
        </w:rPr>
        <w:t>due process of law</w:t>
      </w:r>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setiap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berimplikasi</w:t>
      </w:r>
      <w:proofErr w:type="spellEnd"/>
      <w:r w:rsidRPr="001835F1">
        <w:rPr>
          <w:rFonts w:ascii="Times New Roman" w:hAnsi="Times New Roman" w:cs="Times New Roman"/>
          <w:sz w:val="24"/>
          <w:szCs w:val="24"/>
        </w:rPr>
        <w:t xml:space="preserve"> pada </w:t>
      </w:r>
      <w:proofErr w:type="spellStart"/>
      <w:r w:rsidRPr="001835F1">
        <w:rPr>
          <w:rFonts w:ascii="Times New Roman" w:hAnsi="Times New Roman" w:cs="Times New Roman"/>
          <w:sz w:val="24"/>
          <w:szCs w:val="24"/>
        </w:rPr>
        <w:t>pembatasan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profesi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harus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dilakukan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melalui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mekanisme</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sesuai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kode</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etik</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berlaku</w:t>
      </w:r>
      <w:proofErr w:type="spellEnd"/>
      <w:r w:rsidRPr="001835F1">
        <w:rPr>
          <w:rFonts w:ascii="Times New Roman" w:hAnsi="Times New Roman" w:cs="Times New Roman"/>
          <w:sz w:val="24"/>
          <w:szCs w:val="24"/>
        </w:rPr>
        <w:t xml:space="preserve">. Dalam </w:t>
      </w:r>
      <w:proofErr w:type="spellStart"/>
      <w:r w:rsidRPr="001835F1">
        <w:rPr>
          <w:rFonts w:ascii="Times New Roman" w:hAnsi="Times New Roman" w:cs="Times New Roman"/>
          <w:sz w:val="24"/>
          <w:szCs w:val="24"/>
        </w:rPr>
        <w:t>kasus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mekanisme</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semestinya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ditempuh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adalah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melalui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Majelis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Kehormatan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bukan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melalui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keputusan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sepihak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tinggi</w:t>
      </w:r>
      <w:proofErr w:type="spellEnd"/>
      <w:r w:rsidRPr="001835F1">
        <w:rPr>
          <w:rFonts w:ascii="Times New Roman" w:hAnsi="Times New Roman" w:cs="Times New Roman"/>
          <w:sz w:val="24"/>
          <w:szCs w:val="24"/>
        </w:rPr>
        <w:t>.</w:t>
      </w:r>
    </w:p>
    <w:p w14:paraId="4912DC84" w14:textId="77777777"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1835F1">
        <w:rPr>
          <w:rFonts w:ascii="Times New Roman" w:hAnsi="Times New Roman" w:cs="Times New Roman"/>
          <w:sz w:val="24"/>
          <w:szCs w:val="24"/>
        </w:rPr>
        <w:t>Dinamika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mencerminkan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ketegangan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antara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supremasi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menjaga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ketertiban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persidangan</w:t>
      </w:r>
      <w:proofErr w:type="spellEnd"/>
      <w:r w:rsidRPr="001835F1">
        <w:rPr>
          <w:rFonts w:ascii="Times New Roman" w:hAnsi="Times New Roman" w:cs="Times New Roman"/>
          <w:sz w:val="24"/>
          <w:szCs w:val="24"/>
        </w:rPr>
        <w:t xml:space="preserve">. Di </w:t>
      </w:r>
      <w:proofErr w:type="spellStart"/>
      <w:r w:rsidRPr="001835F1">
        <w:rPr>
          <w:rFonts w:ascii="Times New Roman" w:hAnsi="Times New Roman" w:cs="Times New Roman"/>
          <w:sz w:val="24"/>
          <w:szCs w:val="24"/>
        </w:rPr>
        <w:t>satu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memiliki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hak</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kewajiban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untuk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membela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kliennya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optimal, </w:t>
      </w:r>
      <w:proofErr w:type="spellStart"/>
      <w:r w:rsidRPr="001835F1">
        <w:rPr>
          <w:rFonts w:ascii="Times New Roman" w:hAnsi="Times New Roman" w:cs="Times New Roman"/>
          <w:sz w:val="24"/>
          <w:szCs w:val="24"/>
        </w:rPr>
        <w:t>termasuk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strategi yang </w:t>
      </w:r>
      <w:proofErr w:type="spellStart"/>
      <w:r w:rsidRPr="001835F1">
        <w:rPr>
          <w:rFonts w:ascii="Times New Roman" w:hAnsi="Times New Roman" w:cs="Times New Roman"/>
          <w:sz w:val="24"/>
          <w:szCs w:val="24"/>
        </w:rPr>
        <w:t>agresif</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argumentasi</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kritis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terhadap</w:t>
      </w:r>
      <w:proofErr w:type="spellEnd"/>
      <w:r w:rsidRPr="001835F1">
        <w:rPr>
          <w:rFonts w:ascii="Times New Roman" w:hAnsi="Times New Roman" w:cs="Times New Roman"/>
          <w:sz w:val="24"/>
          <w:szCs w:val="24"/>
        </w:rPr>
        <w:t xml:space="preserve"> hakim dan </w:t>
      </w:r>
      <w:proofErr w:type="spellStart"/>
      <w:r w:rsidRPr="001835F1">
        <w:rPr>
          <w:rFonts w:ascii="Times New Roman" w:hAnsi="Times New Roman" w:cs="Times New Roman"/>
          <w:sz w:val="24"/>
          <w:szCs w:val="24"/>
        </w:rPr>
        <w:t>jaksa</w:t>
      </w:r>
      <w:proofErr w:type="spellEnd"/>
      <w:r w:rsidRPr="001835F1">
        <w:rPr>
          <w:rFonts w:ascii="Times New Roman" w:hAnsi="Times New Roman" w:cs="Times New Roman"/>
          <w:sz w:val="24"/>
          <w:szCs w:val="24"/>
        </w:rPr>
        <w:t xml:space="preserve">. Di </w:t>
      </w:r>
      <w:proofErr w:type="spellStart"/>
      <w:r w:rsidRPr="001835F1">
        <w:rPr>
          <w:rFonts w:ascii="Times New Roman" w:hAnsi="Times New Roman" w:cs="Times New Roman"/>
          <w:sz w:val="24"/>
          <w:szCs w:val="24"/>
        </w:rPr>
        <w:t>sisi</w:t>
      </w:r>
      <w:proofErr w:type="spellEnd"/>
      <w:r w:rsidRPr="001835F1">
        <w:rPr>
          <w:rFonts w:ascii="Times New Roman" w:hAnsi="Times New Roman" w:cs="Times New Roman"/>
          <w:sz w:val="24"/>
          <w:szCs w:val="24"/>
        </w:rPr>
        <w:t xml:space="preserve"> lain,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memiliki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kewajiban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untuk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memastikan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bahwa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persidangan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berlangsung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tertib</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bermartabat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Kontestasi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apabila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tidak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dikelola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dapat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mengarah</w:t>
      </w:r>
      <w:proofErr w:type="spellEnd"/>
      <w:r w:rsidRPr="001835F1">
        <w:rPr>
          <w:rFonts w:ascii="Times New Roman" w:hAnsi="Times New Roman" w:cs="Times New Roman"/>
          <w:sz w:val="24"/>
          <w:szCs w:val="24"/>
        </w:rPr>
        <w:t xml:space="preserve"> pada </w:t>
      </w:r>
      <w:proofErr w:type="spellStart"/>
      <w:r w:rsidRPr="001835F1">
        <w:rPr>
          <w:rFonts w:ascii="Times New Roman" w:hAnsi="Times New Roman" w:cs="Times New Roman"/>
          <w:sz w:val="24"/>
          <w:szCs w:val="24"/>
        </w:rPr>
        <w:t>penyalahgunaan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wewenang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pihak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maupun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lembaga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itu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sendiri</w:t>
      </w:r>
      <w:proofErr w:type="spellEnd"/>
      <w:r w:rsidRPr="001835F1">
        <w:rPr>
          <w:rFonts w:ascii="Times New Roman" w:hAnsi="Times New Roman" w:cs="Times New Roman"/>
          <w:sz w:val="24"/>
          <w:szCs w:val="24"/>
        </w:rPr>
        <w:t>.</w:t>
      </w:r>
    </w:p>
    <w:p w14:paraId="73A2858C" w14:textId="77777777" w:rsidR="00257986" w:rsidRPr="001835F1"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1835F1">
        <w:rPr>
          <w:rFonts w:ascii="Times New Roman" w:hAnsi="Times New Roman" w:cs="Times New Roman"/>
          <w:sz w:val="24"/>
          <w:szCs w:val="24"/>
        </w:rPr>
        <w:t>Implikasi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lebih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luas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dari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kasus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adalah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potensi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preseden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bagi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tinggi</w:t>
      </w:r>
      <w:proofErr w:type="spellEnd"/>
      <w:r w:rsidRPr="001835F1">
        <w:rPr>
          <w:rFonts w:ascii="Times New Roman" w:hAnsi="Times New Roman" w:cs="Times New Roman"/>
          <w:sz w:val="24"/>
          <w:szCs w:val="24"/>
        </w:rPr>
        <w:t xml:space="preserve"> lain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mengambil</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serupa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terhadap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dianggap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mengganggu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jalannya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persidangan</w:t>
      </w:r>
      <w:proofErr w:type="spellEnd"/>
      <w:r w:rsidRPr="001835F1">
        <w:rPr>
          <w:rFonts w:ascii="Times New Roman" w:hAnsi="Times New Roman" w:cs="Times New Roman"/>
          <w:sz w:val="24"/>
          <w:szCs w:val="24"/>
        </w:rPr>
        <w:t xml:space="preserve">. Jika </w:t>
      </w:r>
      <w:proofErr w:type="spellStart"/>
      <w:r w:rsidRPr="001835F1">
        <w:rPr>
          <w:rFonts w:ascii="Times New Roman" w:hAnsi="Times New Roman" w:cs="Times New Roman"/>
          <w:sz w:val="24"/>
          <w:szCs w:val="24"/>
        </w:rPr>
        <w:t>hal</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terjadi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secara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meluas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tanpa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landasan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jelas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maka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semakin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tergerus</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berpotensi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menjadi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instrumen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untuk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membatasi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kebebasan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berpendapat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ruang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sidang</w:t>
      </w:r>
      <w:proofErr w:type="spellEnd"/>
      <w:r w:rsidRPr="001835F1">
        <w:rPr>
          <w:rFonts w:ascii="Times New Roman" w:hAnsi="Times New Roman" w:cs="Times New Roman"/>
          <w:sz w:val="24"/>
          <w:szCs w:val="24"/>
        </w:rPr>
        <w:t xml:space="preserve">. Oleh </w:t>
      </w:r>
      <w:proofErr w:type="spellStart"/>
      <w:r w:rsidRPr="001835F1">
        <w:rPr>
          <w:rFonts w:ascii="Times New Roman" w:hAnsi="Times New Roman" w:cs="Times New Roman"/>
          <w:sz w:val="24"/>
          <w:szCs w:val="24"/>
        </w:rPr>
        <w:t>karena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itu</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diperlukan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kejelasan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mengenai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batasan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kewenangan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memberikan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sanksi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terhadap</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agar </w:t>
      </w:r>
      <w:proofErr w:type="spellStart"/>
      <w:r w:rsidRPr="001835F1">
        <w:rPr>
          <w:rFonts w:ascii="Times New Roman" w:hAnsi="Times New Roman" w:cs="Times New Roman"/>
          <w:sz w:val="24"/>
          <w:szCs w:val="24"/>
        </w:rPr>
        <w:t>tidak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terjadi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tumpang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tindih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antara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otoritas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yudisial</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mekanisme</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penegakan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kode</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etik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w:t>
      </w:r>
    </w:p>
    <w:p w14:paraId="0258404B" w14:textId="5694154D" w:rsidR="00257986" w:rsidRPr="00257986"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1835F1">
        <w:rPr>
          <w:rFonts w:ascii="Times New Roman" w:hAnsi="Times New Roman" w:cs="Times New Roman"/>
          <w:sz w:val="24"/>
          <w:szCs w:val="24"/>
        </w:rPr>
        <w:t xml:space="preserve">Dalam </w:t>
      </w:r>
      <w:proofErr w:type="spellStart"/>
      <w:r w:rsidRPr="001835F1">
        <w:rPr>
          <w:rFonts w:ascii="Times New Roman" w:hAnsi="Times New Roman" w:cs="Times New Roman"/>
          <w:sz w:val="24"/>
          <w:szCs w:val="24"/>
        </w:rPr>
        <w:t>jangka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panjang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penguatan</w:t>
      </w:r>
      <w:proofErr w:type="spellEnd"/>
      <w:r w:rsidRPr="001835F1">
        <w:rPr>
          <w:rFonts w:ascii="Times New Roman" w:hAnsi="Times New Roman" w:cs="Times New Roman"/>
          <w:sz w:val="24"/>
          <w:szCs w:val="24"/>
        </w:rPr>
        <w:t xml:space="preserve"> dialog dan </w:t>
      </w:r>
      <w:proofErr w:type="spellStart"/>
      <w:r w:rsidRPr="001835F1">
        <w:rPr>
          <w:rFonts w:ascii="Times New Roman" w:hAnsi="Times New Roman" w:cs="Times New Roman"/>
          <w:sz w:val="24"/>
          <w:szCs w:val="24"/>
        </w:rPr>
        <w:t>kerja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sama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antara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lembaga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organisasi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menjadi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kunci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membangun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sistem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hukum</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lebih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seimbang</w:t>
      </w:r>
      <w:proofErr w:type="spellEnd"/>
      <w:r w:rsidRPr="001835F1">
        <w:rPr>
          <w:rFonts w:ascii="Times New Roman" w:hAnsi="Times New Roman" w:cs="Times New Roman"/>
          <w:sz w:val="24"/>
          <w:szCs w:val="24"/>
        </w:rPr>
        <w:t xml:space="preserve"> dan </w:t>
      </w:r>
      <w:proofErr w:type="spellStart"/>
      <w:r w:rsidRPr="001835F1">
        <w:rPr>
          <w:rFonts w:ascii="Times New Roman" w:hAnsi="Times New Roman" w:cs="Times New Roman"/>
          <w:sz w:val="24"/>
          <w:szCs w:val="24"/>
        </w:rPr>
        <w:t>adil</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Dengan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adanya</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kejelasan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batas</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kewenangan</w:t>
      </w:r>
      <w:proofErr w:type="spellEnd"/>
      <w:r w:rsidRPr="001835F1">
        <w:rPr>
          <w:rFonts w:ascii="Times New Roman" w:hAnsi="Times New Roman" w:cs="Times New Roman"/>
          <w:sz w:val="24"/>
          <w:szCs w:val="24"/>
        </w:rPr>
        <w:t xml:space="preserve"> masing-masing </w:t>
      </w:r>
      <w:proofErr w:type="spellStart"/>
      <w:r w:rsidRPr="001835F1">
        <w:rPr>
          <w:rFonts w:ascii="Times New Roman" w:hAnsi="Times New Roman" w:cs="Times New Roman"/>
          <w:sz w:val="24"/>
          <w:szCs w:val="24"/>
        </w:rPr>
        <w:t>institusi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diharapkan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tidak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terjadi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lagi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polemik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serupa</w:t>
      </w:r>
      <w:proofErr w:type="spellEnd"/>
      <w:r w:rsidRPr="001835F1">
        <w:rPr>
          <w:rFonts w:ascii="Times New Roman" w:hAnsi="Times New Roman" w:cs="Times New Roman"/>
          <w:sz w:val="24"/>
          <w:szCs w:val="24"/>
        </w:rPr>
        <w:t xml:space="preserve"> yang </w:t>
      </w:r>
      <w:proofErr w:type="spellStart"/>
      <w:r w:rsidRPr="001835F1">
        <w:rPr>
          <w:rFonts w:ascii="Times New Roman" w:hAnsi="Times New Roman" w:cs="Times New Roman"/>
          <w:sz w:val="24"/>
          <w:szCs w:val="24"/>
        </w:rPr>
        <w:t>dapat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merusak</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marwah</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peradilan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maupun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melemahkan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independensi</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dalam</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menjalankan</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profesinya</w:t>
      </w:r>
      <w:proofErr w:type="spellEnd"/>
      <w:r w:rsidRPr="001835F1">
        <w:rPr>
          <w:rFonts w:ascii="Times New Roman" w:hAnsi="Times New Roman" w:cs="Times New Roman"/>
          <w:sz w:val="24"/>
          <w:szCs w:val="24"/>
        </w:rPr>
        <w:t>.</w:t>
      </w:r>
    </w:p>
    <w:p w14:paraId="0EA72244" w14:textId="77777777" w:rsidR="00257986" w:rsidRPr="00F4668F" w:rsidRDefault="00257986" w:rsidP="00257986">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roofErr w:type="spellStart"/>
      <w:r w:rsidRPr="00F4668F">
        <w:rPr>
          <w:rFonts w:ascii="Times New Roman" w:hAnsi="Times New Roman" w:cs="Times New Roman"/>
          <w:b/>
          <w:bCs/>
          <w:sz w:val="24"/>
          <w:szCs w:val="24"/>
        </w:rPr>
        <w:t>Diskresi</w:t>
      </w:r>
      <w:proofErr w:type="spellEnd"/>
      <w:r w:rsidRPr="00F4668F">
        <w:rPr>
          <w:rFonts w:ascii="Times New Roman" w:hAnsi="Times New Roman" w:cs="Times New Roman"/>
          <w:b/>
          <w:bCs/>
          <w:sz w:val="24"/>
          <w:szCs w:val="24"/>
        </w:rPr>
        <w:t xml:space="preserve"> </w:t>
      </w:r>
      <w:proofErr w:type="spellStart"/>
      <w:r w:rsidRPr="00257986">
        <w:rPr>
          <w:rFonts w:ascii="Times New Roman" w:eastAsia="Times New Roman" w:hAnsi="Times New Roman" w:cs="Times New Roman"/>
          <w:b/>
          <w:color w:val="000000"/>
          <w:sz w:val="24"/>
          <w:szCs w:val="24"/>
        </w:rPr>
        <w:t>Yudisial</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Ambiguitas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Regulasi</w:t>
      </w:r>
      <w:proofErr w:type="spellEnd"/>
    </w:p>
    <w:p w14:paraId="3CDA33D7" w14:textId="2F9237EB" w:rsidR="00257986" w:rsidRPr="00512D10" w:rsidRDefault="00257986" w:rsidP="00257986">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yudisial</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memiliki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batasan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harus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tunduk</w:t>
      </w:r>
      <w:proofErr w:type="spellEnd"/>
      <w:r w:rsidRPr="00512D10">
        <w:rPr>
          <w:rFonts w:ascii="Times New Roman" w:hAnsi="Times New Roman" w:cs="Times New Roman"/>
          <w:sz w:val="24"/>
          <w:szCs w:val="24"/>
        </w:rPr>
        <w:t xml:space="preserve"> pada </w:t>
      </w:r>
      <w:proofErr w:type="spellStart"/>
      <w:r w:rsidRPr="00512D10">
        <w:rPr>
          <w:rFonts w:ascii="Times New Roman" w:hAnsi="Times New Roman" w:cs="Times New Roman"/>
          <w:sz w:val="24"/>
          <w:szCs w:val="24"/>
        </w:rPr>
        <w:t>prinsip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berlaku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Pasal</w:t>
      </w:r>
      <w:proofErr w:type="spellEnd"/>
      <w:r w:rsidRPr="00512D10">
        <w:rPr>
          <w:rFonts w:ascii="Times New Roman" w:hAnsi="Times New Roman" w:cs="Times New Roman"/>
          <w:sz w:val="24"/>
          <w:szCs w:val="24"/>
        </w:rPr>
        <w:t xml:space="preserve"> 5</w:t>
      </w:r>
      <w:r>
        <w:rPr>
          <w:rFonts w:ascii="Times New Roman" w:hAnsi="Times New Roman" w:cs="Times New Roman"/>
          <w:sz w:val="24"/>
          <w:szCs w:val="24"/>
        </w:rPr>
        <w:t>3</w:t>
      </w:r>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ayat</w:t>
      </w:r>
      <w:proofErr w:type="spellEnd"/>
      <w:r w:rsidRPr="00512D10">
        <w:rPr>
          <w:rFonts w:ascii="Times New Roman" w:hAnsi="Times New Roman" w:cs="Times New Roman"/>
          <w:sz w:val="24"/>
          <w:szCs w:val="24"/>
        </w:rPr>
        <w:t xml:space="preserve"> (</w:t>
      </w:r>
      <w:r>
        <w:rPr>
          <w:rFonts w:ascii="Times New Roman" w:hAnsi="Times New Roman" w:cs="Times New Roman"/>
          <w:sz w:val="24"/>
          <w:szCs w:val="24"/>
        </w:rPr>
        <w:t>3</w:t>
      </w:r>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Undang-Undang</w:t>
      </w:r>
      <w:proofErr w:type="spellEnd"/>
      <w:r w:rsidRPr="00512D10">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5030A6">
        <w:rPr>
          <w:rFonts w:ascii="Times New Roman" w:hAnsi="Times New Roman" w:cs="Times New Roman"/>
          <w:sz w:val="24"/>
          <w:szCs w:val="24"/>
        </w:rPr>
        <w:t>Perubahan</w:t>
      </w:r>
      <w:proofErr w:type="spellEnd"/>
      <w:r w:rsidRPr="005030A6">
        <w:rPr>
          <w:rFonts w:ascii="Times New Roman" w:hAnsi="Times New Roman" w:cs="Times New Roman"/>
          <w:sz w:val="24"/>
          <w:szCs w:val="24"/>
        </w:rPr>
        <w:t xml:space="preserve"> </w:t>
      </w:r>
      <w:proofErr w:type="spellStart"/>
      <w:r w:rsidRPr="005030A6">
        <w:rPr>
          <w:rFonts w:ascii="Times New Roman" w:hAnsi="Times New Roman" w:cs="Times New Roman"/>
          <w:sz w:val="24"/>
          <w:szCs w:val="24"/>
        </w:rPr>
        <w:t>Kedua</w:t>
      </w:r>
      <w:proofErr w:type="spellEnd"/>
      <w:r w:rsidRPr="005030A6">
        <w:rPr>
          <w:rFonts w:ascii="Times New Roman" w:hAnsi="Times New Roman" w:cs="Times New Roman"/>
          <w:sz w:val="24"/>
          <w:szCs w:val="24"/>
        </w:rPr>
        <w:t xml:space="preserve"> Atas </w:t>
      </w:r>
      <w:proofErr w:type="spellStart"/>
      <w:r w:rsidRPr="005030A6">
        <w:rPr>
          <w:rFonts w:ascii="Times New Roman" w:hAnsi="Times New Roman" w:cs="Times New Roman"/>
          <w:sz w:val="24"/>
          <w:szCs w:val="24"/>
        </w:rPr>
        <w:t>Undang-Undang</w:t>
      </w:r>
      <w:proofErr w:type="spellEnd"/>
      <w:r w:rsidRPr="005030A6">
        <w:rPr>
          <w:rFonts w:ascii="Times New Roman" w:hAnsi="Times New Roman" w:cs="Times New Roman"/>
          <w:sz w:val="24"/>
          <w:szCs w:val="24"/>
        </w:rPr>
        <w:t xml:space="preserve"> </w:t>
      </w:r>
      <w:proofErr w:type="spellStart"/>
      <w:r w:rsidRPr="005030A6">
        <w:rPr>
          <w:rFonts w:ascii="Times New Roman" w:hAnsi="Times New Roman" w:cs="Times New Roman"/>
          <w:sz w:val="24"/>
          <w:szCs w:val="24"/>
        </w:rPr>
        <w:t>Nomor</w:t>
      </w:r>
      <w:proofErr w:type="spellEnd"/>
      <w:r w:rsidRPr="005030A6">
        <w:rPr>
          <w:rFonts w:ascii="Times New Roman" w:hAnsi="Times New Roman" w:cs="Times New Roman"/>
          <w:sz w:val="24"/>
          <w:szCs w:val="24"/>
        </w:rPr>
        <w:t xml:space="preserve"> 2 </w:t>
      </w:r>
      <w:proofErr w:type="spellStart"/>
      <w:r w:rsidRPr="005030A6">
        <w:rPr>
          <w:rFonts w:ascii="Times New Roman" w:hAnsi="Times New Roman" w:cs="Times New Roman"/>
          <w:sz w:val="24"/>
          <w:szCs w:val="24"/>
        </w:rPr>
        <w:t>Tahun</w:t>
      </w:r>
      <w:proofErr w:type="spellEnd"/>
      <w:r w:rsidRPr="005030A6">
        <w:rPr>
          <w:rFonts w:ascii="Times New Roman" w:hAnsi="Times New Roman" w:cs="Times New Roman"/>
          <w:sz w:val="24"/>
          <w:szCs w:val="24"/>
        </w:rPr>
        <w:t xml:space="preserve"> 1986 </w:t>
      </w:r>
      <w:proofErr w:type="spellStart"/>
      <w:r w:rsidRPr="005030A6">
        <w:rPr>
          <w:rFonts w:ascii="Times New Roman" w:hAnsi="Times New Roman" w:cs="Times New Roman"/>
          <w:sz w:val="24"/>
          <w:szCs w:val="24"/>
        </w:rPr>
        <w:t>Tentang</w:t>
      </w:r>
      <w:proofErr w:type="spellEnd"/>
      <w:r w:rsidRPr="005030A6">
        <w:rPr>
          <w:rFonts w:ascii="Times New Roman" w:hAnsi="Times New Roman" w:cs="Times New Roman"/>
          <w:sz w:val="24"/>
          <w:szCs w:val="24"/>
        </w:rPr>
        <w:t xml:space="preserve"> </w:t>
      </w:r>
      <w:proofErr w:type="spellStart"/>
      <w:r w:rsidRPr="005030A6">
        <w:rPr>
          <w:rFonts w:ascii="Times New Roman" w:hAnsi="Times New Roman" w:cs="Times New Roman"/>
          <w:sz w:val="24"/>
          <w:szCs w:val="24"/>
        </w:rPr>
        <w:t>Peradilan</w:t>
      </w:r>
      <w:proofErr w:type="spellEnd"/>
      <w:r w:rsidRPr="005030A6">
        <w:rPr>
          <w:rFonts w:ascii="Times New Roman" w:hAnsi="Times New Roman" w:cs="Times New Roman"/>
          <w:sz w:val="24"/>
          <w:szCs w:val="24"/>
        </w:rPr>
        <w:t xml:space="preserve"> Umum</w:t>
      </w:r>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mengatur</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bahwa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tinggi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lastRenderedPageBreak/>
        <w:t>berwenang</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mengawasi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penyelenggaraan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{"citationItems":[{"id":"ITEM-1","itemData":{"ISBN":"9785984520973","author":[{"dropping-particle":"","family":"Presiden Republik Indonesia","given":"","non-dropping-particle":"","parse-names":false,"suffix":""}],"id":"ITEM-1","issued":{"date-parts":[["2009"]]},"number":"49","page":"1-17","publisher-place":"Indonesia","title":"Undang-Undang Nomor 49 Tahun 2009 Tentang Perubahan Kedua Atas Undang-Undang Nomor 2 Tahun 1986 Tentang Peradilan Umum","type":"legislation"},"locator":"1-17","uris":["http://www.mendeley.com/documents/?uuid=46562b55-343f-4f24-9831-ed72211bd109"]}],"mendeley":{"formattedCitation":"[17, pp. 1–17]","plainTextFormattedCitation":"[17, pp. 1–17]","previouslyFormattedCitation":"[17, pp. 1–17]"},"properties":{"noteIndex":0},"schema":"https://github.com/citation-style-language/schema/raw/master/csl-citation.json"}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[17, pp. 1–17]</w:t>
      </w:r>
      <w:r>
        <w:rPr>
          <w:rFonts w:ascii="Times New Roman" w:hAnsi="Times New Roman" w:cs="Times New Roman"/>
          <w:sz w:val="24"/>
          <w:szCs w:val="24"/>
        </w:rPr>
        <w:fldChar w:fldCharType="end"/>
      </w:r>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tetapi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tidak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secara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eksplisit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memiliki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otoritas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untuk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mencabut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atau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membekukan</w:t>
      </w:r>
      <w:proofErr w:type="spellEnd"/>
      <w:r w:rsidRPr="00512D10">
        <w:rPr>
          <w:rFonts w:ascii="Times New Roman" w:hAnsi="Times New Roman" w:cs="Times New Roman"/>
          <w:sz w:val="24"/>
          <w:szCs w:val="24"/>
        </w:rPr>
        <w:t xml:space="preserve"> status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Dengan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demikian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tindakan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pembekuan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berita</w:t>
      </w:r>
      <w:proofErr w:type="spellEnd"/>
      <w:r w:rsidRPr="00512D10">
        <w:rPr>
          <w:rFonts w:ascii="Times New Roman" w:hAnsi="Times New Roman" w:cs="Times New Roman"/>
          <w:sz w:val="24"/>
          <w:szCs w:val="24"/>
        </w:rPr>
        <w:t xml:space="preserve"> acara </w:t>
      </w:r>
      <w:proofErr w:type="spellStart"/>
      <w:r w:rsidRPr="00512D10">
        <w:rPr>
          <w:rFonts w:ascii="Times New Roman" w:hAnsi="Times New Roman" w:cs="Times New Roman"/>
          <w:sz w:val="24"/>
          <w:szCs w:val="24"/>
        </w:rPr>
        <w:t>sumpah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melampaui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administratif</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tinggi</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memasuki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ranah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w:t>
      </w:r>
    </w:p>
    <w:p w14:paraId="45A25324" w14:textId="2F2FE388" w:rsidR="002D0621"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512D10">
        <w:rPr>
          <w:rFonts w:ascii="Times New Roman" w:hAnsi="Times New Roman" w:cs="Times New Roman"/>
          <w:sz w:val="24"/>
          <w:szCs w:val="24"/>
        </w:rPr>
        <w:t>Penggunaan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diskresi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yudisial</w:t>
      </w:r>
      <w:proofErr w:type="spellEnd"/>
      <w:r w:rsidRPr="00512D1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{"citationItems":[{"id":"ITEM-1","itemData":{"DOI":"10.14710/mmh.45.1.2016.18-24","ISSN":"2086-2695","abstract":"Dalam praktik penegakan hukum di Indonesia masih sering terjadi hakim menyimpang dari kaidah-kaidah hukum. Padahal, kaidah-kaidah hukum itulah yang seharusnya menjadi pertimbangan utama sebelum menjatuhkan putusan. Penyimpangan terhadap kaidah-kaidah hukum itu seperti kepastian hukum, kemanfaatan dan keadilan. Prasangka politik, ekonomi dan moral ikut menentukan putusan hakim. Selain itu, pemberitaan oleh media massa terhadap penanganan suatu perkara turut mempengaruhi putusan hakim. Kondisi tersebut diperparah dengan pengaruh politik pencitraan khususnya terhadap kasus-kasus korupsi. Ketika sedang menangani perkara-perkara korupsi, mind set hakim sudah terpola dengan hukuman yang seberat-beratnya dengan mengabaikan kepastian hukum, kemanfaatan dan keadilan.","author":[{"dropping-particle":"","family":"Nurudin","given":"Agus","non-dropping-particle":"","parse-names":false,"suffix":""}],"container-title":"Masalah-Masalah Hukum","id":"ITEM-1","issue":"1","issued":{"date-parts":[["2016"]]},"page":"18-24","title":"Diskresi Yudisial: Antara Keadilan Dan Pencitraan","type":"article-journal","volume":"45"},"locator":"18-24","uris":["http://www.mendeley.com/documents/?uuid=45ac71d1-c0fe-4f83-900a-4d7d870f9523"]}],"mendeley":{"formattedCitation":"[18, pp. 18–24]","plainTextFormattedCitation":"[18, pp. 18–24]","previouslyFormattedCitation":"[18, pp. 18–24]"},"properties":{"noteIndex":0},"schema":"https://github.com/citation-style-language/schema/raw/master/csl-citation.json"}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[18, pp. 18–24]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kasus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didasarkan</w:t>
      </w:r>
      <w:proofErr w:type="spellEnd"/>
      <w:r w:rsidRPr="00512D10">
        <w:rPr>
          <w:rFonts w:ascii="Times New Roman" w:hAnsi="Times New Roman" w:cs="Times New Roman"/>
          <w:sz w:val="24"/>
          <w:szCs w:val="24"/>
        </w:rPr>
        <w:t xml:space="preserve"> pada </w:t>
      </w:r>
      <w:proofErr w:type="spellStart"/>
      <w:r w:rsidRPr="00512D10">
        <w:rPr>
          <w:rFonts w:ascii="Times New Roman" w:hAnsi="Times New Roman" w:cs="Times New Roman"/>
          <w:sz w:val="24"/>
          <w:szCs w:val="24"/>
        </w:rPr>
        <w:t>dalih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menjaga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marwah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Namun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tanpa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jelas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diskresi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dapat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menjadi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instrumen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membatasi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kebebasan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menjalankan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profesinya</w:t>
      </w:r>
      <w:proofErr w:type="spellEnd"/>
      <w:r w:rsidRPr="00512D10">
        <w:rPr>
          <w:rFonts w:ascii="Times New Roman" w:hAnsi="Times New Roman" w:cs="Times New Roman"/>
          <w:sz w:val="24"/>
          <w:szCs w:val="24"/>
        </w:rPr>
        <w:t xml:space="preserve">. Dalam </w:t>
      </w:r>
      <w:proofErr w:type="spellStart"/>
      <w:r w:rsidRPr="00512D10">
        <w:rPr>
          <w:rFonts w:ascii="Times New Roman" w:hAnsi="Times New Roman" w:cs="Times New Roman"/>
          <w:sz w:val="24"/>
          <w:szCs w:val="24"/>
        </w:rPr>
        <w:t>sistem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mengedepankan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kepastian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segala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bentuk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pembatasan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terhadap</w:t>
      </w:r>
      <w:proofErr w:type="spellEnd"/>
      <w:r w:rsidRPr="00512D10">
        <w:rPr>
          <w:rFonts w:ascii="Times New Roman" w:hAnsi="Times New Roman" w:cs="Times New Roman"/>
          <w:sz w:val="24"/>
          <w:szCs w:val="24"/>
        </w:rPr>
        <w:t xml:space="preserve"> status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harus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memiliki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dasar</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eksplisit</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tidak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bergantung</w:t>
      </w:r>
      <w:proofErr w:type="spellEnd"/>
      <w:r w:rsidRPr="00512D10">
        <w:rPr>
          <w:rFonts w:ascii="Times New Roman" w:hAnsi="Times New Roman" w:cs="Times New Roman"/>
          <w:sz w:val="24"/>
          <w:szCs w:val="24"/>
        </w:rPr>
        <w:t xml:space="preserve"> pada </w:t>
      </w:r>
      <w:proofErr w:type="spellStart"/>
      <w:r w:rsidRPr="00512D10">
        <w:rPr>
          <w:rFonts w:ascii="Times New Roman" w:hAnsi="Times New Roman" w:cs="Times New Roman"/>
          <w:sz w:val="24"/>
          <w:szCs w:val="24"/>
        </w:rPr>
        <w:t>interpretasi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subjektif</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aparat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peradilan</w:t>
      </w:r>
      <w:proofErr w:type="spellEnd"/>
      <w:r w:rsidRPr="00512D10">
        <w:rPr>
          <w:rFonts w:ascii="Times New Roman" w:hAnsi="Times New Roman" w:cs="Times New Roman"/>
          <w:sz w:val="24"/>
          <w:szCs w:val="24"/>
        </w:rPr>
        <w:t>.</w:t>
      </w:r>
      <w:r w:rsidR="002D0621">
        <w:rPr>
          <w:rFonts w:ascii="Times New Roman" w:hAnsi="Times New Roman" w:cs="Times New Roman"/>
          <w:sz w:val="24"/>
          <w:szCs w:val="24"/>
        </w:rPr>
        <w:t xml:space="preserve"> </w:t>
      </w:r>
      <w:r w:rsidRPr="00512D10">
        <w:rPr>
          <w:rFonts w:ascii="Times New Roman" w:hAnsi="Times New Roman" w:cs="Times New Roman"/>
          <w:sz w:val="24"/>
          <w:szCs w:val="24"/>
        </w:rPr>
        <w:t xml:space="preserve">Dalam </w:t>
      </w:r>
      <w:proofErr w:type="spellStart"/>
      <w:r w:rsidRPr="00512D10">
        <w:rPr>
          <w:rFonts w:ascii="Times New Roman" w:hAnsi="Times New Roman" w:cs="Times New Roman"/>
          <w:sz w:val="24"/>
          <w:szCs w:val="24"/>
        </w:rPr>
        <w:t>praktiknya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diskresi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yudisial</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digunakan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pembekuan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sumpah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menghadirkan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ambiguitas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signifikan</w:t>
      </w:r>
      <w:proofErr w:type="spellEnd"/>
      <w:r w:rsidRPr="00512D10">
        <w:rPr>
          <w:rFonts w:ascii="Times New Roman" w:hAnsi="Times New Roman" w:cs="Times New Roman"/>
          <w:sz w:val="24"/>
          <w:szCs w:val="24"/>
        </w:rPr>
        <w:t xml:space="preserve">. Di </w:t>
      </w:r>
      <w:proofErr w:type="spellStart"/>
      <w:r w:rsidRPr="00512D10">
        <w:rPr>
          <w:rFonts w:ascii="Times New Roman" w:hAnsi="Times New Roman" w:cs="Times New Roman"/>
          <w:sz w:val="24"/>
          <w:szCs w:val="24"/>
        </w:rPr>
        <w:t>satu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sisi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memiliki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untuk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menegakkan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ketertiban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persidangan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tetapi</w:t>
      </w:r>
      <w:proofErr w:type="spellEnd"/>
      <w:r w:rsidRPr="00512D10">
        <w:rPr>
          <w:rFonts w:ascii="Times New Roman" w:hAnsi="Times New Roman" w:cs="Times New Roman"/>
          <w:sz w:val="24"/>
          <w:szCs w:val="24"/>
        </w:rPr>
        <w:t xml:space="preserve"> di </w:t>
      </w:r>
      <w:proofErr w:type="spellStart"/>
      <w:r w:rsidRPr="00512D10">
        <w:rPr>
          <w:rFonts w:ascii="Times New Roman" w:hAnsi="Times New Roman" w:cs="Times New Roman"/>
          <w:sz w:val="24"/>
          <w:szCs w:val="24"/>
        </w:rPr>
        <w:t>sisi</w:t>
      </w:r>
      <w:proofErr w:type="spellEnd"/>
      <w:r w:rsidRPr="00512D10">
        <w:rPr>
          <w:rFonts w:ascii="Times New Roman" w:hAnsi="Times New Roman" w:cs="Times New Roman"/>
          <w:sz w:val="24"/>
          <w:szCs w:val="24"/>
        </w:rPr>
        <w:t xml:space="preserve"> lain, </w:t>
      </w:r>
      <w:proofErr w:type="spellStart"/>
      <w:r w:rsidRPr="00512D10">
        <w:rPr>
          <w:rFonts w:ascii="Times New Roman" w:hAnsi="Times New Roman" w:cs="Times New Roman"/>
          <w:sz w:val="24"/>
          <w:szCs w:val="24"/>
        </w:rPr>
        <w:t>tindakan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menimbulkan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pertanyaan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mengenai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legitimasi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yuridis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atas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keputusan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berimplikasi</w:t>
      </w:r>
      <w:proofErr w:type="spellEnd"/>
      <w:r w:rsidRPr="00512D10">
        <w:rPr>
          <w:rFonts w:ascii="Times New Roman" w:hAnsi="Times New Roman" w:cs="Times New Roman"/>
          <w:sz w:val="24"/>
          <w:szCs w:val="24"/>
        </w:rPr>
        <w:t xml:space="preserve"> pada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Tanpa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batasan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jelas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diskresi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berisiko</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disalahgunakan</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menimbulkan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ketidakpastian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bagi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w:t>
      </w:r>
    </w:p>
    <w:p w14:paraId="2C15A995" w14:textId="49ACCBAA" w:rsidR="00257986" w:rsidRPr="00512D10"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512D10">
        <w:rPr>
          <w:rFonts w:ascii="Times New Roman" w:hAnsi="Times New Roman" w:cs="Times New Roman"/>
          <w:sz w:val="24"/>
          <w:szCs w:val="24"/>
        </w:rPr>
        <w:t xml:space="preserve">Tindakan </w:t>
      </w:r>
      <w:proofErr w:type="spellStart"/>
      <w:r w:rsidRPr="00512D10">
        <w:rPr>
          <w:rFonts w:ascii="Times New Roman" w:hAnsi="Times New Roman" w:cs="Times New Roman"/>
          <w:sz w:val="24"/>
          <w:szCs w:val="24"/>
        </w:rPr>
        <w:t>pengadilan</w:t>
      </w:r>
      <w:proofErr w:type="spellEnd"/>
      <w:r>
        <w:rPr>
          <w:rFonts w:ascii="Times New Roman" w:hAnsi="Times New Roman" w:cs="Times New Roman"/>
          <w:sz w:val="24"/>
          <w:szCs w:val="24"/>
        </w:rPr>
        <w:t xml:space="preserve"> Tinggi Ambon dan Banten</w:t>
      </w:r>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membekukan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berita</w:t>
      </w:r>
      <w:proofErr w:type="spellEnd"/>
      <w:r w:rsidRPr="00512D10">
        <w:rPr>
          <w:rFonts w:ascii="Times New Roman" w:hAnsi="Times New Roman" w:cs="Times New Roman"/>
          <w:sz w:val="24"/>
          <w:szCs w:val="24"/>
        </w:rPr>
        <w:t xml:space="preserve"> acara </w:t>
      </w:r>
      <w:proofErr w:type="spellStart"/>
      <w:r w:rsidRPr="00512D10">
        <w:rPr>
          <w:rFonts w:ascii="Times New Roman" w:hAnsi="Times New Roman" w:cs="Times New Roman"/>
          <w:sz w:val="24"/>
          <w:szCs w:val="24"/>
        </w:rPr>
        <w:t>sumpah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tanpa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melalui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mekanisme</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pengujian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tepat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menimbulkan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perdebatan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etis</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normatif</w:t>
      </w:r>
      <w:proofErr w:type="spellEnd"/>
      <w:r w:rsidRPr="00512D10">
        <w:rPr>
          <w:rFonts w:ascii="Times New Roman" w:hAnsi="Times New Roman" w:cs="Times New Roman"/>
          <w:sz w:val="24"/>
          <w:szCs w:val="24"/>
        </w:rPr>
        <w:t xml:space="preserve">. Dalam </w:t>
      </w:r>
      <w:proofErr w:type="spellStart"/>
      <w:r w:rsidRPr="00512D10">
        <w:rPr>
          <w:rFonts w:ascii="Times New Roman" w:hAnsi="Times New Roman" w:cs="Times New Roman"/>
          <w:sz w:val="24"/>
          <w:szCs w:val="24"/>
        </w:rPr>
        <w:t>sistem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demokratis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setiap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pembatasan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terhadap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hak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profesional</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harus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diuji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melalui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mekanisme</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akuntabel</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transparan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Penggunaan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diskresi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tanpa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landasan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kuat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dapat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menciptakan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praktik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yudisial</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otoriter</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berpotensi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mencederai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prinsip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{"citationItems":[{"id":"ITEM-1","itemData":{"DOI":"10.14710/mmh.45.1.2016.18-24","ISSN":"2086-2695","abstract":"Dalam praktik penegakan hukum di Indonesia masih sering terjadi hakim menyimpang dari kaidah-kaidah hukum. Padahal, kaidah-kaidah hukum itulah yang seharusnya menjadi pertimbangan utama sebelum menjatuhkan putusan. Penyimpangan terhadap kaidah-kaidah hukum itu seperti kepastian hukum, kemanfaatan dan keadilan. Prasangka politik, ekonomi dan moral ikut menentukan putusan hakim. Selain itu, pemberitaan oleh media massa terhadap penanganan suatu perkara turut mempengaruhi putusan hakim. Kondisi tersebut diperparah dengan pengaruh politik pencitraan khususnya terhadap kasus-kasus korupsi. Ketika sedang menangani perkara-perkara korupsi, mind set hakim sudah terpola dengan hukuman yang seberat-beratnya dengan mengabaikan kepastian hukum, kemanfaatan dan keadilan.","author":[{"dropping-particle":"","family":"Nurudin","given":"Agus","non-dropping-particle":"","parse-names":false,"suffix":""}],"container-title":"Masalah-Masalah Hukum","id":"ITEM-1","issue":"1","issued":{"date-parts":[["2016"]]},"page":"18-24","title":"Diskresi Yudisial: Antara Keadilan Dan Pencitraan","type":"article-journal","volume":"45"},"locator":"18-24","uris":["http://www.mendeley.com/documents/?uuid=45ac71d1-c0fe-4f83-900a-4d7d870f9523"]}],"mendeley":{"formattedCitation":"[18, pp. 18–24]","plainTextFormattedCitation":"[18, pp. 18–24]","previouslyFormattedCitation":"[18, pp. 18–24]"},"properties":{"noteIndex":0},"schema":"https://github.com/citation-style-language/schema/raw/master/csl-citation.json"}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[18, pp. 18–24]</w:t>
      </w:r>
      <w:r>
        <w:rPr>
          <w:rFonts w:ascii="Times New Roman" w:hAnsi="Times New Roman" w:cs="Times New Roman"/>
          <w:sz w:val="24"/>
          <w:szCs w:val="24"/>
        </w:rPr>
        <w:fldChar w:fldCharType="end"/>
      </w:r>
      <w:r w:rsidRPr="00512D10">
        <w:rPr>
          <w:rFonts w:ascii="Times New Roman" w:hAnsi="Times New Roman" w:cs="Times New Roman"/>
          <w:sz w:val="24"/>
          <w:szCs w:val="24"/>
        </w:rPr>
        <w:t>.</w:t>
      </w:r>
      <w:r w:rsidR="002D0621">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lebih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tegas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diperlukan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untuk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mengatur</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batas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mengawasi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Keberadaan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ambigu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membuka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celah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bagi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interpretasi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berbeda-beda</w:t>
      </w:r>
      <w:proofErr w:type="spellEnd"/>
      <w:r w:rsidRPr="00512D10">
        <w:rPr>
          <w:rFonts w:ascii="Times New Roman" w:hAnsi="Times New Roman" w:cs="Times New Roman"/>
          <w:sz w:val="24"/>
          <w:szCs w:val="24"/>
        </w:rPr>
        <w:t xml:space="preserve">, yang pada </w:t>
      </w:r>
      <w:proofErr w:type="spellStart"/>
      <w:r w:rsidRPr="00512D10">
        <w:rPr>
          <w:rFonts w:ascii="Times New Roman" w:hAnsi="Times New Roman" w:cs="Times New Roman"/>
          <w:sz w:val="24"/>
          <w:szCs w:val="24"/>
        </w:rPr>
        <w:t>akhirnya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dapat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berujung</w:t>
      </w:r>
      <w:proofErr w:type="spellEnd"/>
      <w:r w:rsidRPr="00512D10">
        <w:rPr>
          <w:rFonts w:ascii="Times New Roman" w:hAnsi="Times New Roman" w:cs="Times New Roman"/>
          <w:sz w:val="24"/>
          <w:szCs w:val="24"/>
        </w:rPr>
        <w:t xml:space="preserve"> pada </w:t>
      </w:r>
      <w:proofErr w:type="spellStart"/>
      <w:r w:rsidRPr="00512D10">
        <w:rPr>
          <w:rFonts w:ascii="Times New Roman" w:hAnsi="Times New Roman" w:cs="Times New Roman"/>
          <w:sz w:val="24"/>
          <w:szCs w:val="24"/>
        </w:rPr>
        <w:t>ketidakpastian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Oleh </w:t>
      </w:r>
      <w:proofErr w:type="spellStart"/>
      <w:r w:rsidRPr="00512D10">
        <w:rPr>
          <w:rFonts w:ascii="Times New Roman" w:hAnsi="Times New Roman" w:cs="Times New Roman"/>
          <w:sz w:val="24"/>
          <w:szCs w:val="24"/>
        </w:rPr>
        <w:t>karena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itu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revisi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terhadap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peraturan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mengatur</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organisasi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menjadi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sebuah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urgensi</w:t>
      </w:r>
      <w:proofErr w:type="spellEnd"/>
      <w:r w:rsidRPr="00512D10">
        <w:rPr>
          <w:rFonts w:ascii="Times New Roman" w:hAnsi="Times New Roman" w:cs="Times New Roman"/>
          <w:sz w:val="24"/>
          <w:szCs w:val="24"/>
        </w:rPr>
        <w:t>.</w:t>
      </w:r>
    </w:p>
    <w:p w14:paraId="5F0121B3" w14:textId="61841F86" w:rsidR="00257986" w:rsidRPr="002D0621"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512D10">
        <w:rPr>
          <w:rFonts w:ascii="Times New Roman" w:hAnsi="Times New Roman" w:cs="Times New Roman"/>
          <w:sz w:val="24"/>
          <w:szCs w:val="24"/>
        </w:rPr>
        <w:t>Pendekatan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lebih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transparan</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partisipatif</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menafsirkan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kewenangan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pengadilan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perlu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diterapkan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Mekanisme</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konsultatif</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dengan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organisasi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kasus-kasus</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berkaitan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dengan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disiplin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dapat</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menjadi</w:t>
      </w:r>
      <w:proofErr w:type="spellEnd"/>
      <w:r w:rsidRPr="00512D10">
        <w:rPr>
          <w:rFonts w:ascii="Times New Roman" w:hAnsi="Times New Roman" w:cs="Times New Roman"/>
          <w:sz w:val="24"/>
          <w:szCs w:val="24"/>
        </w:rPr>
        <w:t xml:space="preserve"> salah </w:t>
      </w:r>
      <w:proofErr w:type="spellStart"/>
      <w:r w:rsidRPr="00512D10">
        <w:rPr>
          <w:rFonts w:ascii="Times New Roman" w:hAnsi="Times New Roman" w:cs="Times New Roman"/>
          <w:sz w:val="24"/>
          <w:szCs w:val="24"/>
        </w:rPr>
        <w:t>satu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solusi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untuk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mengurangi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ketidakpastian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memastikan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bahwa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setiap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tindakan</w:t>
      </w:r>
      <w:proofErr w:type="spellEnd"/>
      <w:r w:rsidRPr="00512D10">
        <w:rPr>
          <w:rFonts w:ascii="Times New Roman" w:hAnsi="Times New Roman" w:cs="Times New Roman"/>
          <w:sz w:val="24"/>
          <w:szCs w:val="24"/>
        </w:rPr>
        <w:t xml:space="preserve"> yang </w:t>
      </w:r>
      <w:proofErr w:type="spellStart"/>
      <w:r w:rsidRPr="00512D10">
        <w:rPr>
          <w:rFonts w:ascii="Times New Roman" w:hAnsi="Times New Roman" w:cs="Times New Roman"/>
          <w:sz w:val="24"/>
          <w:szCs w:val="24"/>
        </w:rPr>
        <w:t>diambil</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sejalan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dengan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prinsip</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keadilan</w:t>
      </w:r>
      <w:proofErr w:type="spellEnd"/>
      <w:r w:rsidRPr="00512D10">
        <w:rPr>
          <w:rFonts w:ascii="Times New Roman" w:hAnsi="Times New Roman" w:cs="Times New Roman"/>
          <w:sz w:val="24"/>
          <w:szCs w:val="24"/>
        </w:rPr>
        <w:t>.</w:t>
      </w:r>
      <w:r w:rsidR="002D0621">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Standarisasi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regulasi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dalam</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membatasi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 xml:space="preserve"> di </w:t>
      </w:r>
      <w:proofErr w:type="spellStart"/>
      <w:r w:rsidRPr="00512D10">
        <w:rPr>
          <w:rFonts w:ascii="Times New Roman" w:hAnsi="Times New Roman" w:cs="Times New Roman"/>
          <w:sz w:val="24"/>
          <w:szCs w:val="24"/>
        </w:rPr>
        <w:t>persidangan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harus</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lebih</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diperjelas</w:t>
      </w:r>
      <w:proofErr w:type="spellEnd"/>
      <w:r w:rsidRPr="00512D10">
        <w:rPr>
          <w:rFonts w:ascii="Times New Roman" w:hAnsi="Times New Roman" w:cs="Times New Roman"/>
          <w:sz w:val="24"/>
          <w:szCs w:val="24"/>
        </w:rPr>
        <w:t xml:space="preserve"> agar </w:t>
      </w:r>
      <w:proofErr w:type="spellStart"/>
      <w:r w:rsidRPr="00512D10">
        <w:rPr>
          <w:rFonts w:ascii="Times New Roman" w:hAnsi="Times New Roman" w:cs="Times New Roman"/>
          <w:sz w:val="24"/>
          <w:szCs w:val="24"/>
        </w:rPr>
        <w:t>menciptakan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kepastian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menghindari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penyalahgunaan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wewenang</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Kejelasan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ini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membantu</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menciptakan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keseimbangan</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antara</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supremasi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hukum</w:t>
      </w:r>
      <w:proofErr w:type="spellEnd"/>
      <w:r w:rsidRPr="00512D10">
        <w:rPr>
          <w:rFonts w:ascii="Times New Roman" w:hAnsi="Times New Roman" w:cs="Times New Roman"/>
          <w:sz w:val="24"/>
          <w:szCs w:val="24"/>
        </w:rPr>
        <w:t xml:space="preserve"> dan </w:t>
      </w:r>
      <w:proofErr w:type="spellStart"/>
      <w:r w:rsidRPr="00512D10">
        <w:rPr>
          <w:rFonts w:ascii="Times New Roman" w:hAnsi="Times New Roman" w:cs="Times New Roman"/>
          <w:sz w:val="24"/>
          <w:szCs w:val="24"/>
        </w:rPr>
        <w:t>hak</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profesi</w:t>
      </w:r>
      <w:proofErr w:type="spellEnd"/>
      <w:r w:rsidRPr="00512D10">
        <w:rPr>
          <w:rFonts w:ascii="Times New Roman" w:hAnsi="Times New Roman" w:cs="Times New Roman"/>
          <w:sz w:val="24"/>
          <w:szCs w:val="24"/>
        </w:rPr>
        <w:t xml:space="preserve"> </w:t>
      </w:r>
      <w:proofErr w:type="spellStart"/>
      <w:r w:rsidRPr="00512D10">
        <w:rPr>
          <w:rFonts w:ascii="Times New Roman" w:hAnsi="Times New Roman" w:cs="Times New Roman"/>
          <w:sz w:val="24"/>
          <w:szCs w:val="24"/>
        </w:rPr>
        <w:t>advokat</w:t>
      </w:r>
      <w:proofErr w:type="spellEnd"/>
      <w:r w:rsidRPr="00512D10">
        <w:rPr>
          <w:rFonts w:ascii="Times New Roman" w:hAnsi="Times New Roman" w:cs="Times New Roman"/>
          <w:sz w:val="24"/>
          <w:szCs w:val="24"/>
        </w:rPr>
        <w:t>.</w:t>
      </w:r>
    </w:p>
    <w:p w14:paraId="4976B136" w14:textId="77777777" w:rsidR="00257986" w:rsidRPr="00E046E1" w:rsidRDefault="00257986" w:rsidP="002D0621">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66A41">
        <w:rPr>
          <w:rFonts w:ascii="Times New Roman" w:hAnsi="Times New Roman" w:cs="Times New Roman"/>
          <w:b/>
          <w:bCs/>
          <w:sz w:val="24"/>
          <w:szCs w:val="24"/>
        </w:rPr>
        <w:t xml:space="preserve">Bayang-Bayang </w:t>
      </w:r>
      <w:r w:rsidRPr="00366A41">
        <w:rPr>
          <w:rFonts w:ascii="Times New Roman" w:hAnsi="Times New Roman" w:cs="Times New Roman"/>
          <w:b/>
          <w:bCs/>
          <w:i/>
          <w:iCs/>
          <w:sz w:val="24"/>
          <w:szCs w:val="24"/>
        </w:rPr>
        <w:t>Contempt of Court</w:t>
      </w:r>
      <w:r w:rsidRPr="00366A41">
        <w:rPr>
          <w:rFonts w:ascii="Times New Roman" w:hAnsi="Times New Roman" w:cs="Times New Roman"/>
          <w:b/>
          <w:bCs/>
          <w:sz w:val="24"/>
          <w:szCs w:val="24"/>
        </w:rPr>
        <w:t xml:space="preserve">: Antara </w:t>
      </w:r>
      <w:proofErr w:type="spellStart"/>
      <w:r w:rsidRPr="00366A41">
        <w:rPr>
          <w:rFonts w:ascii="Times New Roman" w:hAnsi="Times New Roman" w:cs="Times New Roman"/>
          <w:b/>
          <w:bCs/>
          <w:sz w:val="24"/>
          <w:szCs w:val="24"/>
        </w:rPr>
        <w:t>Disiplin</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Persidangan</w:t>
      </w:r>
      <w:proofErr w:type="spellEnd"/>
      <w:r w:rsidRPr="00366A41">
        <w:rPr>
          <w:rFonts w:ascii="Times New Roman" w:hAnsi="Times New Roman" w:cs="Times New Roman"/>
          <w:b/>
          <w:bCs/>
          <w:sz w:val="24"/>
          <w:szCs w:val="24"/>
        </w:rPr>
        <w:t xml:space="preserve"> dan </w:t>
      </w:r>
      <w:proofErr w:type="spellStart"/>
      <w:r w:rsidRPr="00366A41">
        <w:rPr>
          <w:rFonts w:ascii="Times New Roman" w:hAnsi="Times New Roman" w:cs="Times New Roman"/>
          <w:b/>
          <w:bCs/>
          <w:sz w:val="24"/>
          <w:szCs w:val="24"/>
        </w:rPr>
        <w:t>Pembungkaman</w:t>
      </w:r>
      <w:proofErr w:type="spellEnd"/>
      <w:r w:rsidRPr="00366A41">
        <w:rPr>
          <w:rFonts w:ascii="Times New Roman" w:hAnsi="Times New Roman" w:cs="Times New Roman"/>
          <w:b/>
          <w:bCs/>
          <w:sz w:val="24"/>
          <w:szCs w:val="24"/>
        </w:rPr>
        <w:t xml:space="preserve"> </w:t>
      </w:r>
      <w:proofErr w:type="spellStart"/>
      <w:r w:rsidRPr="00366A41">
        <w:rPr>
          <w:rFonts w:ascii="Times New Roman" w:hAnsi="Times New Roman" w:cs="Times New Roman"/>
          <w:b/>
          <w:bCs/>
          <w:sz w:val="24"/>
          <w:szCs w:val="24"/>
        </w:rPr>
        <w:t>Profesi</w:t>
      </w:r>
      <w:proofErr w:type="spellEnd"/>
    </w:p>
    <w:p w14:paraId="69792EA5" w14:textId="3A3B3C7A"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4E72C8">
        <w:rPr>
          <w:rFonts w:ascii="Times New Roman" w:hAnsi="Times New Roman" w:cs="Times New Roman"/>
          <w:sz w:val="24"/>
          <w:szCs w:val="24"/>
        </w:rPr>
        <w:t>Konsep</w:t>
      </w:r>
      <w:proofErr w:type="spellEnd"/>
      <w:r w:rsidRPr="004E72C8">
        <w:rPr>
          <w:rFonts w:ascii="Times New Roman" w:hAnsi="Times New Roman" w:cs="Times New Roman"/>
          <w:sz w:val="24"/>
          <w:szCs w:val="24"/>
        </w:rPr>
        <w:t xml:space="preserve"> </w:t>
      </w:r>
      <w:r w:rsidRPr="00E31B52">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atau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penghinaan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merupakan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instrumen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bertujuan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menjaga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kewibawaan</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ketertiban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proses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normatif</w:t>
      </w:r>
      <w:proofErr w:type="spellEnd"/>
      <w:r w:rsidRPr="004E72C8">
        <w:rPr>
          <w:rFonts w:ascii="Times New Roman" w:hAnsi="Times New Roman" w:cs="Times New Roman"/>
          <w:sz w:val="24"/>
          <w:szCs w:val="24"/>
        </w:rPr>
        <w:t xml:space="preserve">, </w:t>
      </w:r>
      <w:r w:rsidRPr="00E31B52">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mencakup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dianggap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mengganggu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jalannya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baik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perilaku</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pantas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intervensi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independensi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maupun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ketidakpatuhan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perintah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{"citationItems":[{"id":"ITEM-1","itemData":{"DOI":"10.20884/1.jdh.2020.20.1.2731","ISSN":"1410-0797","abstract":"The independent, transparent, and accountable judicial power is a conditio sine quanon for a democratic nation of law. Judicial power is executed through the judiciary to enforce the law and justice. Case trading, controversial decisions disrupting the sense of justice, are the causes of declining judiciary authority. This study uses a normative legal research method with the existing legislation approach as a positive legal norm. The cause of the contempt of court in Indonesia is due to internal and external factors. The internal factors are those including the powerless independence and impartiality of judges, declining authority, decision quality, and integrity. The latter are the community’s attitudes such as selfish, permissive, unable to control themselves, and disrespectl to the judiciary. The solution is the importance of improving the contempt of court law, restoring all decent functions of the judiciary, and educating the community to have legal awareness.Keywords: contempt of court; legal awareness; judicial authority.","author":[{"dropping-particle":"","family":"Sopyan","given":"Yayan","non-dropping-particle":"","parse-names":false,"suffix":""}],"container-title":"Jurnal Dinamika Hukum","id":"ITEM-1","issue":"1","issued":{"date-parts":[["2020"]]},"page":"82-100","title":"Contempt of Court in Indonesia: The Meaning, Root of Problems and Its Alternative Solutions","type":"article-journal","volume":"20"},"locator":"82-100","uris":["http://www.mendeley.com/documents/?uuid=5cbca14f-b308-42ef-8fb7-cef640cc73d7"]},{"id":"ITEM-2","itemData":{"author":[{"dropping-particle":"","family":"Rahman","given":"Sufirman","non-dropping-particle":"","parse-names":false,"suffix":""},{"dropping-particle":"","family":"Akhirno","given":"Sutio Jumagi","non-dropping-particle":"","parse-names":false,"suffix":""},{"dropping-particle":"","family":"Nawi","given":"Syahruddin","non-dropping-particle":"","parse-names":false,"suffix":""},{"dropping-particle":"","family":"Nasrullah","given":"Nasrullah","non-dropping-particle":"","parse-names":false,"suffix":""}],"container-title":"Russian Law Journal","id":"ITEM-2","issue":"5","issued":{"date-parts":[["2023"]]},"page":"1134-1145","title":"CONTEMPT OF COURT CRIMINAL IN JUSTICE IMPLEMENTATION IN INDONESIA","type":"article-journal","volume":"XI"},"locator":"1134-1145","uris":["http://www.mendeley.com/documents/?uuid=94e8d02b-b4c2-4a28-8e41-67412fd1a906"]}],"mendeley":{"formattedCitation":"[4, pp. 1134–1145], [6, pp. 82–100]","plainTextFormattedCitation":"[4, pp. 1134–1145], [6, pp. 82–100]","previouslyFormattedCitation":"[4, pp. 1134–1145], [6, pp. 82–100]"},"properties":{"noteIndex":0},"schema":"https://github.com/citation-style-language/schema/raw/master/csl-citation.json"}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[4, pp. 1134–1145], [6, pp. 82–100]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E72C8">
        <w:rPr>
          <w:rFonts w:ascii="Times New Roman" w:hAnsi="Times New Roman" w:cs="Times New Roman"/>
          <w:sz w:val="24"/>
          <w:szCs w:val="24"/>
        </w:rPr>
        <w:t xml:space="preserve">Dalam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Indonesia, </w:t>
      </w:r>
      <w:proofErr w:type="spellStart"/>
      <w:r w:rsidRPr="004E72C8">
        <w:rPr>
          <w:rFonts w:ascii="Times New Roman" w:hAnsi="Times New Roman" w:cs="Times New Roman"/>
          <w:sz w:val="24"/>
          <w:szCs w:val="24"/>
        </w:rPr>
        <w:t>ketentuan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mengenai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penghinaan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telah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diatur</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Pasal</w:t>
      </w:r>
      <w:proofErr w:type="spellEnd"/>
      <w:r w:rsidRPr="004E72C8">
        <w:rPr>
          <w:rFonts w:ascii="Times New Roman" w:hAnsi="Times New Roman" w:cs="Times New Roman"/>
          <w:sz w:val="24"/>
          <w:szCs w:val="24"/>
        </w:rPr>
        <w:t xml:space="preserve"> 279</w:t>
      </w:r>
      <w:r>
        <w:rPr>
          <w:rFonts w:ascii="Times New Roman" w:hAnsi="Times New Roman" w:cs="Times New Roman"/>
          <w:sz w:val="24"/>
          <w:szCs w:val="24"/>
        </w:rPr>
        <w:t>-</w:t>
      </w:r>
      <w:r w:rsidRPr="004E72C8">
        <w:rPr>
          <w:rFonts w:ascii="Times New Roman" w:hAnsi="Times New Roman" w:cs="Times New Roman"/>
          <w:sz w:val="24"/>
          <w:szCs w:val="24"/>
        </w:rPr>
        <w:t xml:space="preserve">285 </w:t>
      </w:r>
      <w:proofErr w:type="spellStart"/>
      <w:r w:rsidRPr="004E72C8">
        <w:rPr>
          <w:rFonts w:ascii="Times New Roman" w:hAnsi="Times New Roman" w:cs="Times New Roman"/>
          <w:sz w:val="24"/>
          <w:szCs w:val="24"/>
        </w:rPr>
        <w:t>Undang-Undang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Nomor</w:t>
      </w:r>
      <w:proofErr w:type="spellEnd"/>
      <w:r w:rsidRPr="004E72C8">
        <w:rPr>
          <w:rFonts w:ascii="Times New Roman" w:hAnsi="Times New Roman" w:cs="Times New Roman"/>
          <w:sz w:val="24"/>
          <w:szCs w:val="24"/>
        </w:rPr>
        <w:t xml:space="preserve"> 1 </w:t>
      </w:r>
      <w:proofErr w:type="spellStart"/>
      <w:r w:rsidRPr="004E72C8">
        <w:rPr>
          <w:rFonts w:ascii="Times New Roman" w:hAnsi="Times New Roman" w:cs="Times New Roman"/>
          <w:sz w:val="24"/>
          <w:szCs w:val="24"/>
        </w:rPr>
        <w:t>Tahun</w:t>
      </w:r>
      <w:proofErr w:type="spellEnd"/>
      <w:r w:rsidRPr="004E72C8">
        <w:rPr>
          <w:rFonts w:ascii="Times New Roman" w:hAnsi="Times New Roman" w:cs="Times New Roman"/>
          <w:sz w:val="24"/>
          <w:szCs w:val="24"/>
        </w:rPr>
        <w:t xml:space="preserve"> 2023 </w:t>
      </w:r>
      <w:proofErr w:type="spellStart"/>
      <w:r w:rsidRPr="004E72C8">
        <w:rPr>
          <w:rFonts w:ascii="Times New Roman" w:hAnsi="Times New Roman" w:cs="Times New Roman"/>
          <w:sz w:val="24"/>
          <w:szCs w:val="24"/>
        </w:rPr>
        <w:t>tentang</w:t>
      </w:r>
      <w:proofErr w:type="spellEnd"/>
      <w:r w:rsidRPr="004E72C8">
        <w:rPr>
          <w:rFonts w:ascii="Times New Roman" w:hAnsi="Times New Roman" w:cs="Times New Roman"/>
          <w:sz w:val="24"/>
          <w:szCs w:val="24"/>
        </w:rPr>
        <w:t xml:space="preserve"> KUHP</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Indonesia","given":"","non-dropping-particle":"","parse-names":false,"suffix":""}],"id":"ITEM-1","issued":{"date-parts":[["2023"]]},"number":"1","page":"1-345","publisher-place":"Indonesia","title":"Undang-Undang Nomor 1 Tahun 2023 Tentang Kitab Undang-Undang Hukum Pidana","type":"legislation"},"locator":"1-345","uris":["http://www.mendeley.com/documents/?uuid=b1f0ef5c-0c5f-4211-8dd7-39c841531cf4"]}],"mendeley":{"formattedCitation":"[19, pp. 1–345]","plainTextFormattedCitation":"[19, pp. 1–345]","previouslyFormattedCitation":"[19, pp. 1–345]"},"properties":{"noteIndex":0},"schema":"https://github.com/citation-style-language/schema/raw/master/csl-citation.json"}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[19, pp. 1–345]</w:t>
      </w:r>
      <w:r>
        <w:rPr>
          <w:rFonts w:ascii="Times New Roman" w:hAnsi="Times New Roman" w:cs="Times New Roman"/>
          <w:sz w:val="24"/>
          <w:szCs w:val="24"/>
        </w:rPr>
        <w:fldChar w:fldCharType="end"/>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Namun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penerapan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konsep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kasus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pembekuan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berita</w:t>
      </w:r>
      <w:proofErr w:type="spellEnd"/>
      <w:r w:rsidRPr="004E72C8">
        <w:rPr>
          <w:rFonts w:ascii="Times New Roman" w:hAnsi="Times New Roman" w:cs="Times New Roman"/>
          <w:sz w:val="24"/>
          <w:szCs w:val="24"/>
        </w:rPr>
        <w:t xml:space="preserve"> acara </w:t>
      </w:r>
      <w:proofErr w:type="spellStart"/>
      <w:r w:rsidRPr="004E72C8">
        <w:rPr>
          <w:rFonts w:ascii="Times New Roman" w:hAnsi="Times New Roman" w:cs="Times New Roman"/>
          <w:sz w:val="24"/>
          <w:szCs w:val="24"/>
        </w:rPr>
        <w:t>sumpah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menimbulkan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pertanyaan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mendasar</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apakah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tersebut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merupakan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penegakan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disiplin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sah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atau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justru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menjadi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alat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pembungkaman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profesi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w:t>
      </w:r>
    </w:p>
    <w:p w14:paraId="68FF5B76" w14:textId="64C461EF" w:rsidR="00257986"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4E72C8">
        <w:rPr>
          <w:rFonts w:ascii="Times New Roman" w:hAnsi="Times New Roman" w:cs="Times New Roman"/>
          <w:sz w:val="24"/>
          <w:szCs w:val="24"/>
        </w:rPr>
        <w:lastRenderedPageBreak/>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yuridis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memiliki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kedudukan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penegak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independen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sebagaimana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diatur</w:t>
      </w:r>
      <w:proofErr w:type="spellEnd"/>
      <w:r w:rsidRPr="004E72C8">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sidRPr="001835F1">
        <w:rPr>
          <w:rFonts w:ascii="Times New Roman" w:hAnsi="Times New Roman" w:cs="Times New Roman"/>
          <w:sz w:val="24"/>
          <w:szCs w:val="24"/>
        </w:rPr>
        <w:t>Undang-Undang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Nomor</w:t>
      </w:r>
      <w:proofErr w:type="spellEnd"/>
      <w:r w:rsidRPr="001835F1">
        <w:rPr>
          <w:rFonts w:ascii="Times New Roman" w:hAnsi="Times New Roman" w:cs="Times New Roman"/>
          <w:sz w:val="24"/>
          <w:szCs w:val="24"/>
        </w:rPr>
        <w:t xml:space="preserve"> 18 </w:t>
      </w:r>
      <w:proofErr w:type="spellStart"/>
      <w:r w:rsidRPr="001835F1">
        <w:rPr>
          <w:rFonts w:ascii="Times New Roman" w:hAnsi="Times New Roman" w:cs="Times New Roman"/>
          <w:sz w:val="24"/>
          <w:szCs w:val="24"/>
        </w:rPr>
        <w:t>Tahun</w:t>
      </w:r>
      <w:proofErr w:type="spellEnd"/>
      <w:r w:rsidRPr="001835F1">
        <w:rPr>
          <w:rFonts w:ascii="Times New Roman" w:hAnsi="Times New Roman" w:cs="Times New Roman"/>
          <w:sz w:val="24"/>
          <w:szCs w:val="24"/>
        </w:rPr>
        <w:t xml:space="preserve"> 2003 </w:t>
      </w:r>
      <w:proofErr w:type="spellStart"/>
      <w:r w:rsidRPr="001835F1">
        <w:rPr>
          <w:rFonts w:ascii="Times New Roman" w:hAnsi="Times New Roman" w:cs="Times New Roman"/>
          <w:sz w:val="24"/>
          <w:szCs w:val="24"/>
        </w:rPr>
        <w:t>tentang</w:t>
      </w:r>
      <w:proofErr w:type="spellEnd"/>
      <w:r w:rsidRPr="001835F1">
        <w:rPr>
          <w:rFonts w:ascii="Times New Roman" w:hAnsi="Times New Roman" w:cs="Times New Roman"/>
          <w:sz w:val="24"/>
          <w:szCs w:val="24"/>
        </w:rPr>
        <w:t xml:space="preserve"> </w:t>
      </w:r>
      <w:proofErr w:type="spellStart"/>
      <w:r w:rsidRPr="001835F1">
        <w:rPr>
          <w:rFonts w:ascii="Times New Roman" w:hAnsi="Times New Roman" w:cs="Times New Roman"/>
          <w:sz w:val="24"/>
          <w:szCs w:val="24"/>
        </w:rPr>
        <w:t>Advokat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Indonesia","given":"","non-dropping-particle":"","parse-names":false,"suffix":""}],"id":"ITEM-1","issued":{"date-parts":[["2003"]]},"number":"18","page":"1-23","publisher-place":"Indonesia","title":"Undang-Undang Nomor 18 Tahun 2003 Tentang Advokat","type":"legislation"},"locator":"1-23","uris":["http://www.mendeley.com/documents/?uuid=4763239d-6034-4bd1-b9f9-5ee80045780d"]}],"mendeley":{"formattedCitation":"[16, pp. 1–23]","plainTextFormattedCitation":"[16, pp. 1–23]","previouslyFormattedCitation":"[16, pp. 1–23]"},"properties":{"noteIndex":0},"schema":"https://github.com/citation-style-language/schema/raw/master/csl-citation.json"}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[16, pp. 1–23]</w:t>
      </w:r>
      <w:r>
        <w:rPr>
          <w:rFonts w:ascii="Times New Roman" w:hAnsi="Times New Roman" w:cs="Times New Roman"/>
          <w:sz w:val="24"/>
          <w:szCs w:val="24"/>
        </w:rPr>
        <w:fldChar w:fldCharType="end"/>
      </w:r>
      <w:r w:rsidRPr="001835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bagian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dari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dipisahkan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dari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fungsi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yudisial</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luas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Namun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praktiknya</w:t>
      </w:r>
      <w:proofErr w:type="spellEnd"/>
      <w:r w:rsidRPr="004E72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r w:rsidRPr="00A5505E">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digunakan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represif</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mengendalikan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di </w:t>
      </w:r>
      <w:proofErr w:type="spellStart"/>
      <w:r w:rsidRPr="004E72C8">
        <w:rPr>
          <w:rFonts w:ascii="Times New Roman" w:hAnsi="Times New Roman" w:cs="Times New Roman"/>
          <w:sz w:val="24"/>
          <w:szCs w:val="24"/>
        </w:rPr>
        <w:t>ruang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seakan</w:t>
      </w:r>
      <w:proofErr w:type="spellEnd"/>
      <w:r>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menjadi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alat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bagi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membatasi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kebebasan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berbicara</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peran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membela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kepentingan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kliennya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mengungkap</w:t>
      </w:r>
      <w:proofErr w:type="spellEnd"/>
      <w:r w:rsidRPr="004E72C8">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r w:rsidRPr="00A5505E">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Pasal</w:t>
      </w:r>
      <w:proofErr w:type="spellEnd"/>
      <w:r w:rsidRPr="004E72C8">
        <w:rPr>
          <w:rFonts w:ascii="Times New Roman" w:hAnsi="Times New Roman" w:cs="Times New Roman"/>
          <w:sz w:val="24"/>
          <w:szCs w:val="24"/>
        </w:rPr>
        <w:t xml:space="preserve"> 279</w:t>
      </w:r>
      <w:r>
        <w:rPr>
          <w:rFonts w:ascii="Times New Roman" w:hAnsi="Times New Roman" w:cs="Times New Roman"/>
          <w:sz w:val="24"/>
          <w:szCs w:val="24"/>
        </w:rPr>
        <w:t>-</w:t>
      </w:r>
      <w:r w:rsidRPr="004E72C8">
        <w:rPr>
          <w:rFonts w:ascii="Times New Roman" w:hAnsi="Times New Roman" w:cs="Times New Roman"/>
          <w:sz w:val="24"/>
          <w:szCs w:val="24"/>
        </w:rPr>
        <w:t xml:space="preserve">285 </w:t>
      </w:r>
      <w:proofErr w:type="spellStart"/>
      <w:r w:rsidRPr="004E72C8">
        <w:rPr>
          <w:rFonts w:ascii="Times New Roman" w:hAnsi="Times New Roman" w:cs="Times New Roman"/>
          <w:sz w:val="24"/>
          <w:szCs w:val="24"/>
        </w:rPr>
        <w:t>Undang-Undang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Nomor</w:t>
      </w:r>
      <w:proofErr w:type="spellEnd"/>
      <w:r w:rsidRPr="004E72C8">
        <w:rPr>
          <w:rFonts w:ascii="Times New Roman" w:hAnsi="Times New Roman" w:cs="Times New Roman"/>
          <w:sz w:val="24"/>
          <w:szCs w:val="24"/>
        </w:rPr>
        <w:t xml:space="preserve"> 1 </w:t>
      </w:r>
      <w:proofErr w:type="spellStart"/>
      <w:r w:rsidRPr="004E72C8">
        <w:rPr>
          <w:rFonts w:ascii="Times New Roman" w:hAnsi="Times New Roman" w:cs="Times New Roman"/>
          <w:sz w:val="24"/>
          <w:szCs w:val="24"/>
        </w:rPr>
        <w:t>Tahun</w:t>
      </w:r>
      <w:proofErr w:type="spellEnd"/>
      <w:r w:rsidRPr="004E72C8">
        <w:rPr>
          <w:rFonts w:ascii="Times New Roman" w:hAnsi="Times New Roman" w:cs="Times New Roman"/>
          <w:sz w:val="24"/>
          <w:szCs w:val="24"/>
        </w:rPr>
        <w:t xml:space="preserve"> 2023 </w:t>
      </w:r>
      <w:proofErr w:type="spellStart"/>
      <w:r w:rsidRPr="004E72C8">
        <w:rPr>
          <w:rFonts w:ascii="Times New Roman" w:hAnsi="Times New Roman" w:cs="Times New Roman"/>
          <w:sz w:val="24"/>
          <w:szCs w:val="24"/>
        </w:rPr>
        <w:t>tentang</w:t>
      </w:r>
      <w:proofErr w:type="spellEnd"/>
      <w:r w:rsidRPr="004E72C8">
        <w:rPr>
          <w:rFonts w:ascii="Times New Roman" w:hAnsi="Times New Roman" w:cs="Times New Roman"/>
          <w:sz w:val="24"/>
          <w:szCs w:val="24"/>
        </w:rPr>
        <w:t xml:space="preserve"> KUHP</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Indonesia","given":"","non-dropping-particle":"","parse-names":false,"suffix":""}],"id":"ITEM-1","issued":{"date-parts":[["2023"]]},"number":"1","page":"1-345","publisher-place":"Indonesia","title":"Undang-Undang Nomor 1 Tahun 2023 Tentang Kitab Undang-Undang Hukum Pidana","type":"legislation"},"locator":"1-345","uris":["http://www.mendeley.com/documents/?uuid=b1f0ef5c-0c5f-4211-8dd7-39c841531cf4"]}],"mendeley":{"formattedCitation":"[19, pp. 1–345]","plainTextFormattedCitation":"[19, pp. 1–345]","previouslyFormattedCitation":"[19, pp. 1–345]"},"properties":{"noteIndex":0},"schema":"https://github.com/citation-style-language/schema/raw/master/csl-citation.json"}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[19, pp. 1–345]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berpotensi</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menjadi</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alat</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untuk</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membungkam</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kebebasan</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berpendapat</w:t>
      </w:r>
      <w:proofErr w:type="spellEnd"/>
      <w:r w:rsidRPr="000911EA">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rekomedasinya</w:t>
      </w:r>
      <w:proofErr w:type="spellEnd"/>
      <w:r>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perlu</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ada</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langkah-langkah</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untuk</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memperbaiki</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situasi</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ini</w:t>
      </w:r>
      <w:proofErr w:type="spellEnd"/>
      <w:r w:rsidRPr="000911EA">
        <w:rPr>
          <w:rFonts w:ascii="Times New Roman" w:hAnsi="Times New Roman" w:cs="Times New Roman"/>
          <w:sz w:val="24"/>
          <w:szCs w:val="24"/>
        </w:rPr>
        <w:t xml:space="preserve"> demi </w:t>
      </w:r>
      <w:proofErr w:type="spellStart"/>
      <w:r w:rsidRPr="000911EA">
        <w:rPr>
          <w:rFonts w:ascii="Times New Roman" w:hAnsi="Times New Roman" w:cs="Times New Roman"/>
          <w:sz w:val="24"/>
          <w:szCs w:val="24"/>
        </w:rPr>
        <w:t>menjaga</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demokrasi</w:t>
      </w:r>
      <w:proofErr w:type="spellEnd"/>
      <w:r w:rsidRPr="000911EA">
        <w:rPr>
          <w:rFonts w:ascii="Times New Roman" w:hAnsi="Times New Roman" w:cs="Times New Roman"/>
          <w:sz w:val="24"/>
          <w:szCs w:val="24"/>
        </w:rPr>
        <w:t xml:space="preserve"> dan </w:t>
      </w:r>
      <w:proofErr w:type="spellStart"/>
      <w:r w:rsidRPr="000911EA">
        <w:rPr>
          <w:rFonts w:ascii="Times New Roman" w:hAnsi="Times New Roman" w:cs="Times New Roman"/>
          <w:sz w:val="24"/>
          <w:szCs w:val="24"/>
        </w:rPr>
        <w:t>hak</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asasi</w:t>
      </w:r>
      <w:proofErr w:type="spellEnd"/>
      <w:r w:rsidRPr="000911EA">
        <w:rPr>
          <w:rFonts w:ascii="Times New Roman" w:hAnsi="Times New Roman" w:cs="Times New Roman"/>
          <w:sz w:val="24"/>
          <w:szCs w:val="24"/>
        </w:rPr>
        <w:t xml:space="preserve"> </w:t>
      </w:r>
      <w:proofErr w:type="spellStart"/>
      <w:r w:rsidRPr="000911EA">
        <w:rPr>
          <w:rFonts w:ascii="Times New Roman" w:hAnsi="Times New Roman" w:cs="Times New Roman"/>
          <w:sz w:val="24"/>
          <w:szCs w:val="24"/>
        </w:rPr>
        <w:t>manusia</w:t>
      </w:r>
      <w:proofErr w:type="spellEnd"/>
      <w:r w:rsidRPr="000911EA">
        <w:rPr>
          <w:rFonts w:ascii="Times New Roman" w:hAnsi="Times New Roman" w:cs="Times New Roman"/>
          <w:sz w:val="24"/>
          <w:szCs w:val="24"/>
        </w:rPr>
        <w:t xml:space="preserve"> di Indonesia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{"citationItems":[{"id":"ITEM-1","itemData":{"DOI":"10.30872/mulrev.v8i1.1122","abstract":"This study examines the problematic regulation of articles of contempt of state institutions in Law No. 1 of 2023 concerning the Criminal Code on the right to freedom of opinion in Indonesia. This type of research is normative legal research that uses a statute, analytical, and conceptual approach. The results of this study show that juridically formal insults to state institutions (President, MPR, DPR, DPD, MA, and MK) are regulated in Article 240 and Article 241 of Law No. 1 of 2023 concerning the Criminal Code as complaint offenses. The existence of articles of contempt of state institutions has negative implications for the right to freedom of opinion if reviewed using the legal system theory with the concept of three elements of the legal system. In legal substance, the article of insult to state institutions is multi- interpretive because there is no clear and concrete distinction between insult and criticism. In legal structure, the article of contempt of state institutions has the potential to be misused because there are power relations both structurally and functionally between law enforcement and state institutions; and (3) legal culture, standardization of articles of insult to state institutions has the potential to degrade the pluralism of habits in society in opinion and expression.","author":[{"dropping-particle":"","family":"Wiwin","given":"Wiwin","non-dropping-particle":"","parse-names":false,"suffix":""},{"dropping-particle":"","family":"Pradana","given":"Syafa’at Anugrah","non-dropping-particle":"","parse-names":false,"suffix":""},{"dropping-particle":"","family":"Haq","given":"Muhammad Imam Dhiya’ul","non-dropping-particle":"","parse-names":false,"suffix":""}],"container-title":"Mulawarman Law Review","id":"ITEM-1","issue":"1","issued":{"date-parts":[["2023"]]},"page":"21-31","title":"The Regulation of Articles on State Institutional Insults to The Right to Freedom of Expression in Indonesia: A Critical Review","type":"article-journal","volume":"8"},"locator":"21-31","uris":["http://www.mendeley.com/documents/?uuid=bd288a73-a689-4a8f-bdfa-456a146ef23f"]}],"mendeley":{"formattedCitation":"[20, pp. 21–31]","plainTextFormattedCitation":"[20, pp. 21–31]","previouslyFormattedCitation":"[20, pp. 21–31]"},"properties":{"noteIndex":0},"schema":"https://github.com/citation-style-language/schema/raw/master/csl-citation.json"}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[20, pp. 21–31]</w:t>
      </w:r>
      <w:r>
        <w:rPr>
          <w:rFonts w:ascii="Times New Roman" w:hAnsi="Times New Roman" w:cs="Times New Roman"/>
          <w:sz w:val="24"/>
          <w:szCs w:val="24"/>
        </w:rPr>
        <w:fldChar w:fldCharType="end"/>
      </w:r>
      <w:r w:rsidRPr="000911EA">
        <w:rPr>
          <w:rFonts w:ascii="Times New Roman" w:hAnsi="Times New Roman" w:cs="Times New Roman"/>
          <w:sz w:val="24"/>
          <w:szCs w:val="24"/>
        </w:rPr>
        <w:t>.</w:t>
      </w:r>
    </w:p>
    <w:p w14:paraId="2764B0CF" w14:textId="77777777"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4E72C8">
        <w:rPr>
          <w:rFonts w:ascii="Times New Roman" w:hAnsi="Times New Roman" w:cs="Times New Roman"/>
          <w:sz w:val="24"/>
          <w:szCs w:val="24"/>
        </w:rPr>
        <w:t xml:space="preserve">Dalam </w:t>
      </w:r>
      <w:proofErr w:type="spellStart"/>
      <w:r w:rsidRPr="004E72C8">
        <w:rPr>
          <w:rFonts w:ascii="Times New Roman" w:hAnsi="Times New Roman" w:cs="Times New Roman"/>
          <w:sz w:val="24"/>
          <w:szCs w:val="24"/>
        </w:rPr>
        <w:t>konteks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kasus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pembekuan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berita</w:t>
      </w:r>
      <w:proofErr w:type="spellEnd"/>
      <w:r w:rsidRPr="004E72C8">
        <w:rPr>
          <w:rFonts w:ascii="Times New Roman" w:hAnsi="Times New Roman" w:cs="Times New Roman"/>
          <w:sz w:val="24"/>
          <w:szCs w:val="24"/>
        </w:rPr>
        <w:t xml:space="preserve"> acara </w:t>
      </w:r>
      <w:proofErr w:type="spellStart"/>
      <w:r w:rsidRPr="004E72C8">
        <w:rPr>
          <w:rFonts w:ascii="Times New Roman" w:hAnsi="Times New Roman" w:cs="Times New Roman"/>
          <w:sz w:val="24"/>
          <w:szCs w:val="24"/>
        </w:rPr>
        <w:t>sumpah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dilakukan</w:t>
      </w:r>
      <w:proofErr w:type="spellEnd"/>
      <w:r w:rsidRPr="004E72C8">
        <w:rPr>
          <w:rFonts w:ascii="Times New Roman" w:hAnsi="Times New Roman" w:cs="Times New Roman"/>
          <w:sz w:val="24"/>
          <w:szCs w:val="24"/>
        </w:rPr>
        <w:t xml:space="preserve"> oleh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Tinggi Ambon dan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Tinggi Banten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dikategorikan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sanksi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yudisial</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melebihi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batas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kewenangan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r w:rsidRPr="00B625B9">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Jika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dianggap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melanggar</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etika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maka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prosedur</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seharusnya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ditempuh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adalah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melalui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peringatan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sanksi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administratif</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atau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pelaporan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kepada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organisasi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membekukan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sumpah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tinggi</w:t>
      </w:r>
      <w:proofErr w:type="spellEnd"/>
      <w:r>
        <w:rPr>
          <w:rFonts w:ascii="Times New Roman" w:hAnsi="Times New Roman" w:cs="Times New Roman"/>
          <w:sz w:val="24"/>
          <w:szCs w:val="24"/>
        </w:rPr>
        <w:t xml:space="preserve"> Ambon dan Banten</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menegakkan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ketertiban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tetapi</w:t>
      </w:r>
      <w:proofErr w:type="spellEnd"/>
      <w:r w:rsidRPr="004E72C8">
        <w:rPr>
          <w:rFonts w:ascii="Times New Roman" w:hAnsi="Times New Roman" w:cs="Times New Roman"/>
          <w:sz w:val="24"/>
          <w:szCs w:val="24"/>
        </w:rPr>
        <w:t xml:space="preserve"> juga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langsung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mencabut</w:t>
      </w:r>
      <w:proofErr w:type="spellEnd"/>
      <w:r w:rsidRPr="004E72C8">
        <w:rPr>
          <w:rFonts w:ascii="Times New Roman" w:hAnsi="Times New Roman" w:cs="Times New Roman"/>
          <w:sz w:val="24"/>
          <w:szCs w:val="24"/>
        </w:rPr>
        <w:t xml:space="preserve"> status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tanpa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melalui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prosedur</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proporsional</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transparan</w:t>
      </w:r>
      <w:proofErr w:type="spellEnd"/>
    </w:p>
    <w:p w14:paraId="5CDFC11A" w14:textId="3D762224"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lanjut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penerapan</w:t>
      </w:r>
      <w:proofErr w:type="spellEnd"/>
      <w:r w:rsidRPr="004E72C8">
        <w:rPr>
          <w:rFonts w:ascii="Times New Roman" w:hAnsi="Times New Roman" w:cs="Times New Roman"/>
          <w:sz w:val="24"/>
          <w:szCs w:val="24"/>
        </w:rPr>
        <w:t xml:space="preserve"> contempt of court </w:t>
      </w:r>
      <w:proofErr w:type="spellStart"/>
      <w:r w:rsidRPr="004E72C8">
        <w:rPr>
          <w:rFonts w:ascii="Times New Roman" w:hAnsi="Times New Roman" w:cs="Times New Roman"/>
          <w:sz w:val="24"/>
          <w:szCs w:val="24"/>
        </w:rPr>
        <w:t>seharusnya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bertentangan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prinsip</w:t>
      </w:r>
      <w:proofErr w:type="spellEnd"/>
      <w:r w:rsidRPr="004E72C8">
        <w:rPr>
          <w:rFonts w:ascii="Times New Roman" w:hAnsi="Times New Roman" w:cs="Times New Roman"/>
          <w:sz w:val="24"/>
          <w:szCs w:val="24"/>
        </w:rPr>
        <w:t xml:space="preserve"> </w:t>
      </w:r>
      <w:r w:rsidRPr="00916CF9">
        <w:rPr>
          <w:rFonts w:ascii="Times New Roman" w:hAnsi="Times New Roman" w:cs="Times New Roman"/>
          <w:i/>
          <w:iCs/>
          <w:sz w:val="24"/>
          <w:szCs w:val="24"/>
        </w:rPr>
        <w:t>due process of law</w:t>
      </w:r>
      <w:r w:rsidRPr="004E72C8">
        <w:rPr>
          <w:rFonts w:ascii="Times New Roman" w:hAnsi="Times New Roman" w:cs="Times New Roman"/>
          <w:sz w:val="24"/>
          <w:szCs w:val="24"/>
        </w:rPr>
        <w:t xml:space="preserve">. Dalam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demokratis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setiap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harus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memiliki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dasar</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normatif</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jelas</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diuji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melalui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keberatan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atau</w:t>
      </w:r>
      <w:proofErr w:type="spellEnd"/>
      <w:r w:rsidRPr="004E72C8">
        <w:rPr>
          <w:rFonts w:ascii="Times New Roman" w:hAnsi="Times New Roman" w:cs="Times New Roman"/>
          <w:sz w:val="24"/>
          <w:szCs w:val="24"/>
        </w:rPr>
        <w:t xml:space="preserve"> banding. Jika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tinggi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memiliki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kewenangan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mutlak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membekukan</w:t>
      </w:r>
      <w:proofErr w:type="spellEnd"/>
      <w:r w:rsidRPr="004E72C8">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sumpah</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advokat</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atas</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dasar</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penghinaan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terhadap</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pengadilan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tanpa</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memberikan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hak</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bagi</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advokat</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untuk</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melakukan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pembelaan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diri</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maka</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tindakan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tersebut</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berpotensi</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melanggar</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prinsip</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keadilan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prosedural</w:t>
      </w:r>
      <w:proofErr w:type="spellEnd"/>
      <w:r w:rsidRPr="00916CF9">
        <w:rPr>
          <w:rFonts w:ascii="Times New Roman" w:hAnsi="Times New Roman" w:cs="Times New Roman"/>
          <w:sz w:val="24"/>
          <w:szCs w:val="24"/>
        </w:rPr>
        <w:t xml:space="preserve"> </w:t>
      </w:r>
      <w:r w:rsidRPr="00916CF9">
        <w:rPr>
          <w:rFonts w:ascii="Times New Roman" w:eastAsia="Book Antiqua" w:hAnsi="Times New Roman" w:cs="Times New Roman"/>
          <w:bCs/>
          <w:color w:val="000000"/>
          <w:sz w:val="24"/>
          <w:szCs w:val="24"/>
        </w:rPr>
        <w:fldChar w:fldCharType="begin" w:fldLock="1"/>
      </w:r>
      <w:r w:rsidR="00F42ABA">
        <w:rPr>
          <w:rFonts w:ascii="Times New Roman" w:eastAsia="Book Antiqua" w:hAnsi="Times New Roman" w:cs="Times New Roman"/>
          <w:bCs/>
          <w:color w:val="000000"/>
          <w:sz w:val="24"/>
          <w:szCs w:val="24"/>
        </w:rPr>
        <w:instrText>ADDIN CSL_CITATION {"citationItems":[{"id":"ITEM-1","itemData":{"DOI":"10.22304/pjih.v4n1.a0","ISSN":"00440094","author":[{"dropping-particle":"","family":"Latipulhayat","given":"Atip","non-dropping-particle":"","parse-names":false,"suffix":""}],"container-title":"PJIH: Padjajaran Jurnal Ilmu Hukum","id":"ITEM-1","issue":"2","issued":{"date-parts":[["2017"]]},"page":"i-iv","title":"Editorial: Due Process of Law","type":"article-journal","volume":"4"},"locator":"i-iv","uris":["http://www.mendeley.com/documents/?uuid=23d33c02-e779-4932-a997-f7c79e2c3a43"]}],"mendeley":{"formattedCitation":"[2, pp. i–iv]","plainTextFormattedCitation":"[2, pp. i–iv]","previouslyFormattedCitation":"[2, pp. i–iv]"},"properties":{"noteIndex":0},"schema":"https://github.com/citation-style-language/schema/raw/master/csl-citation.json"}</w:instrText>
      </w:r>
      <w:r w:rsidRPr="00916CF9">
        <w:rPr>
          <w:rFonts w:ascii="Times New Roman" w:eastAsia="Book Antiqua" w:hAnsi="Times New Roman" w:cs="Times New Roman"/>
          <w:bCs/>
          <w:color w:val="000000"/>
          <w:sz w:val="24"/>
          <w:szCs w:val="24"/>
        </w:rPr>
        <w:fldChar w:fldCharType="separate"/>
      </w:r>
      <w:r w:rsidR="00F42ABA" w:rsidRPr="00F42ABA">
        <w:rPr>
          <w:rFonts w:ascii="Times New Roman" w:eastAsia="Book Antiqua" w:hAnsi="Times New Roman" w:cs="Times New Roman"/>
          <w:bCs/>
          <w:noProof/>
          <w:color w:val="000000"/>
          <w:sz w:val="24"/>
          <w:szCs w:val="24"/>
        </w:rPr>
        <w:t>[2, pp. i–iv]</w:t>
      </w:r>
      <w:r w:rsidRPr="00916CF9">
        <w:rPr>
          <w:rFonts w:ascii="Times New Roman" w:eastAsia="Book Antiqua" w:hAnsi="Times New Roman" w:cs="Times New Roman"/>
          <w:bCs/>
          <w:color w:val="000000"/>
          <w:sz w:val="24"/>
          <w:szCs w:val="24"/>
        </w:rPr>
        <w:fldChar w:fldCharType="end"/>
      </w:r>
      <w:r w:rsidRPr="00916CF9">
        <w:rPr>
          <w:rFonts w:ascii="Times New Roman" w:hAnsi="Times New Roman" w:cs="Times New Roman"/>
          <w:sz w:val="24"/>
          <w:szCs w:val="24"/>
        </w:rPr>
        <w:t xml:space="preserve">. Hal </w:t>
      </w:r>
      <w:proofErr w:type="spellStart"/>
      <w:r w:rsidRPr="00916CF9">
        <w:rPr>
          <w:rFonts w:ascii="Times New Roman" w:hAnsi="Times New Roman" w:cs="Times New Roman"/>
          <w:sz w:val="24"/>
          <w:szCs w:val="24"/>
        </w:rPr>
        <w:t>ini</w:t>
      </w:r>
      <w:proofErr w:type="spellEnd"/>
      <w:r w:rsidRPr="00916CF9">
        <w:rPr>
          <w:rFonts w:ascii="Times New Roman" w:hAnsi="Times New Roman" w:cs="Times New Roman"/>
          <w:sz w:val="24"/>
          <w:szCs w:val="24"/>
        </w:rPr>
        <w:t xml:space="preserve"> juga </w:t>
      </w:r>
      <w:proofErr w:type="spellStart"/>
      <w:r w:rsidRPr="00916CF9">
        <w:rPr>
          <w:rFonts w:ascii="Times New Roman" w:hAnsi="Times New Roman" w:cs="Times New Roman"/>
          <w:sz w:val="24"/>
          <w:szCs w:val="24"/>
        </w:rPr>
        <w:t>bertentangan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dengan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asas</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i/>
          <w:iCs/>
          <w:sz w:val="24"/>
          <w:szCs w:val="24"/>
        </w:rPr>
        <w:t>audi</w:t>
      </w:r>
      <w:proofErr w:type="spellEnd"/>
      <w:r w:rsidRPr="00916CF9">
        <w:rPr>
          <w:rFonts w:ascii="Times New Roman" w:hAnsi="Times New Roman" w:cs="Times New Roman"/>
          <w:i/>
          <w:iCs/>
          <w:sz w:val="24"/>
          <w:szCs w:val="24"/>
        </w:rPr>
        <w:t xml:space="preserve"> et alteram partem</w:t>
      </w:r>
      <w:r w:rsidRPr="00916CF9">
        <w:rPr>
          <w:rFonts w:ascii="Times New Roman" w:hAnsi="Times New Roman" w:cs="Times New Roman"/>
          <w:sz w:val="24"/>
          <w:szCs w:val="24"/>
        </w:rPr>
        <w:t xml:space="preserve">, yang </w:t>
      </w:r>
      <w:proofErr w:type="spellStart"/>
      <w:r w:rsidRPr="00916CF9">
        <w:rPr>
          <w:rFonts w:ascii="Times New Roman" w:hAnsi="Times New Roman" w:cs="Times New Roman"/>
          <w:sz w:val="24"/>
          <w:szCs w:val="24"/>
        </w:rPr>
        <w:t>menjamin</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hak</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setiap</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pihak</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untuk</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didengar</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sebelum</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dijatuhi</w:t>
      </w:r>
      <w:proofErr w:type="spellEnd"/>
      <w:r w:rsidRPr="00916CF9">
        <w:rPr>
          <w:rFonts w:ascii="Times New Roman" w:hAnsi="Times New Roman" w:cs="Times New Roman"/>
          <w:sz w:val="24"/>
          <w:szCs w:val="24"/>
        </w:rPr>
        <w:t xml:space="preserve"> </w:t>
      </w:r>
      <w:proofErr w:type="spellStart"/>
      <w:r w:rsidRPr="00916CF9">
        <w:rPr>
          <w:rFonts w:ascii="Times New Roman" w:hAnsi="Times New Roman" w:cs="Times New Roman"/>
          <w:sz w:val="24"/>
          <w:szCs w:val="24"/>
        </w:rPr>
        <w:t>sanksi</w:t>
      </w:r>
      <w:proofErr w:type="spellEnd"/>
      <w:r w:rsidRPr="00916CF9">
        <w:rPr>
          <w:rFonts w:ascii="Times New Roman" w:hAnsi="Times New Roman" w:cs="Times New Roman"/>
          <w:sz w:val="24"/>
          <w:szCs w:val="24"/>
        </w:rPr>
        <w:t>.</w:t>
      </w:r>
    </w:p>
    <w:p w14:paraId="0EFFDC5D" w14:textId="53E7D42B"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4E72C8">
        <w:rPr>
          <w:rFonts w:ascii="Times New Roman" w:hAnsi="Times New Roman" w:cs="Times New Roman"/>
          <w:sz w:val="24"/>
          <w:szCs w:val="24"/>
        </w:rPr>
        <w:t xml:space="preserve">Selain </w:t>
      </w:r>
      <w:proofErr w:type="spellStart"/>
      <w:r w:rsidRPr="004E72C8">
        <w:rPr>
          <w:rFonts w:ascii="Times New Roman" w:hAnsi="Times New Roman" w:cs="Times New Roman"/>
          <w:sz w:val="24"/>
          <w:szCs w:val="24"/>
        </w:rPr>
        <w:t>itu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kasus</w:t>
      </w:r>
      <w:proofErr w:type="spellEnd"/>
      <w:r w:rsidRPr="004E72C8">
        <w:rPr>
          <w:rFonts w:ascii="Times New Roman" w:hAnsi="Times New Roman" w:cs="Times New Roman"/>
          <w:sz w:val="24"/>
          <w:szCs w:val="24"/>
        </w:rPr>
        <w:t xml:space="preserve"> di negara lain, </w:t>
      </w:r>
      <w:proofErr w:type="spellStart"/>
      <w:r w:rsidRPr="004E72C8">
        <w:rPr>
          <w:rFonts w:ascii="Times New Roman" w:hAnsi="Times New Roman" w:cs="Times New Roman"/>
          <w:sz w:val="24"/>
          <w:szCs w:val="24"/>
        </w:rPr>
        <w:t>penyalahgunaan</w:t>
      </w:r>
      <w:proofErr w:type="spellEnd"/>
      <w:r w:rsidRPr="004E72C8">
        <w:rPr>
          <w:rFonts w:ascii="Times New Roman" w:hAnsi="Times New Roman" w:cs="Times New Roman"/>
          <w:sz w:val="24"/>
          <w:szCs w:val="24"/>
        </w:rPr>
        <w:t xml:space="preserve"> </w:t>
      </w:r>
      <w:r w:rsidRPr="00916CF9">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sering</w:t>
      </w:r>
      <w:proofErr w:type="spellEnd"/>
      <w:r w:rsidRPr="004E72C8">
        <w:rPr>
          <w:rFonts w:ascii="Times New Roman" w:hAnsi="Times New Roman" w:cs="Times New Roman"/>
          <w:sz w:val="24"/>
          <w:szCs w:val="24"/>
        </w:rPr>
        <w:t xml:space="preserve"> kali </w:t>
      </w:r>
      <w:proofErr w:type="spellStart"/>
      <w:r w:rsidRPr="004E72C8">
        <w:rPr>
          <w:rFonts w:ascii="Times New Roman" w:hAnsi="Times New Roman" w:cs="Times New Roman"/>
          <w:sz w:val="24"/>
          <w:szCs w:val="24"/>
        </w:rPr>
        <w:t>dikritik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karena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cenderung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menekan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kebebasan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berbicara</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menghambat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kerja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menjalankan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tugasnya</w:t>
      </w:r>
      <w:proofErr w:type="spellEnd"/>
      <w:r w:rsidRPr="004E72C8">
        <w:rPr>
          <w:rFonts w:ascii="Times New Roman" w:hAnsi="Times New Roman" w:cs="Times New Roman"/>
          <w:sz w:val="24"/>
          <w:szCs w:val="24"/>
        </w:rPr>
        <w:t xml:space="preserve">. Di Amerika </w:t>
      </w:r>
      <w:proofErr w:type="spellStart"/>
      <w:r w:rsidRPr="004E72C8">
        <w:rPr>
          <w:rFonts w:ascii="Times New Roman" w:hAnsi="Times New Roman" w:cs="Times New Roman"/>
          <w:sz w:val="24"/>
          <w:szCs w:val="24"/>
        </w:rPr>
        <w:t>Serikat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misalnya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telah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menetapkan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bahwa</w:t>
      </w:r>
      <w:proofErr w:type="spellEnd"/>
      <w:r w:rsidRPr="004E72C8">
        <w:rPr>
          <w:rFonts w:ascii="Times New Roman" w:hAnsi="Times New Roman" w:cs="Times New Roman"/>
          <w:sz w:val="24"/>
          <w:szCs w:val="24"/>
        </w:rPr>
        <w:t xml:space="preserve"> </w:t>
      </w:r>
      <w:r w:rsidRPr="00916CF9">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harus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diterapkan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batasan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ketat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menghindari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penyalahgunaan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wewenang</w:t>
      </w:r>
      <w:proofErr w:type="spellEnd"/>
      <w:r w:rsidRPr="004E72C8">
        <w:rPr>
          <w:rFonts w:ascii="Times New Roman" w:hAnsi="Times New Roman" w:cs="Times New Roman"/>
          <w:sz w:val="24"/>
          <w:szCs w:val="24"/>
        </w:rPr>
        <w:t xml:space="preserve"> oleh hakim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{"citationItems":[{"id":"ITEM-1","itemData":{"DOI":"10.2139/ssrn.5001677","author":[{"dropping-particle":"","family":"Scott","given":"Ryan Lee","non-dropping-particle":"","parse-names":false,"suffix":""}],"container-title":"Dickinson Law Review","id":"ITEM-1","issue":"1","issued":{"date-parts":[["2024"]]},"page":"181-247","title":"Contempt : The Original Judicial Cheat Code","type":"article-journal","volume":"129"},"locator":"181-247","uris":["http://www.mendeley.com/documents/?uuid=3c2c0cd7-0d7d-4bea-ae08-d1f672230ae6"]}],"mendeley":{"formattedCitation":"[21, pp. 181–247]","plainTextFormattedCitation":"[21, pp. 181–247]","previouslyFormattedCitation":"[21, pp. 181–247]"},"properties":{"noteIndex":0},"schema":"https://github.com/citation-style-language/schema/raw/master/csl-citation.json"}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[21, pp. 181–247]</w:t>
      </w:r>
      <w:r>
        <w:rPr>
          <w:rFonts w:ascii="Times New Roman" w:hAnsi="Times New Roman" w:cs="Times New Roman"/>
          <w:sz w:val="24"/>
          <w:szCs w:val="24"/>
        </w:rPr>
        <w:fldChar w:fldCharType="end"/>
      </w:r>
      <w:r w:rsidRPr="004E72C8">
        <w:rPr>
          <w:rFonts w:ascii="Times New Roman" w:hAnsi="Times New Roman" w:cs="Times New Roman"/>
          <w:sz w:val="24"/>
          <w:szCs w:val="24"/>
        </w:rPr>
        <w:t xml:space="preserve">. Hal yang </w:t>
      </w:r>
      <w:proofErr w:type="spellStart"/>
      <w:r w:rsidRPr="004E72C8">
        <w:rPr>
          <w:rFonts w:ascii="Times New Roman" w:hAnsi="Times New Roman" w:cs="Times New Roman"/>
          <w:sz w:val="24"/>
          <w:szCs w:val="24"/>
        </w:rPr>
        <w:t>sama</w:t>
      </w:r>
      <w:proofErr w:type="spellEnd"/>
      <w:r w:rsidRPr="004E72C8">
        <w:rPr>
          <w:rFonts w:ascii="Times New Roman" w:hAnsi="Times New Roman" w:cs="Times New Roman"/>
          <w:sz w:val="24"/>
          <w:szCs w:val="24"/>
        </w:rPr>
        <w:t xml:space="preserve"> juga </w:t>
      </w:r>
      <w:proofErr w:type="spellStart"/>
      <w:r w:rsidRPr="004E72C8">
        <w:rPr>
          <w:rFonts w:ascii="Times New Roman" w:hAnsi="Times New Roman" w:cs="Times New Roman"/>
          <w:sz w:val="24"/>
          <w:szCs w:val="24"/>
        </w:rPr>
        <w:t>terjadi</w:t>
      </w:r>
      <w:proofErr w:type="spellEnd"/>
      <w:r w:rsidRPr="004E72C8">
        <w:rPr>
          <w:rFonts w:ascii="Times New Roman" w:hAnsi="Times New Roman" w:cs="Times New Roman"/>
          <w:sz w:val="24"/>
          <w:szCs w:val="24"/>
        </w:rPr>
        <w:t xml:space="preserve"> di </w:t>
      </w:r>
      <w:proofErr w:type="spellStart"/>
      <w:r w:rsidRPr="004E72C8">
        <w:rPr>
          <w:rFonts w:ascii="Times New Roman" w:hAnsi="Times New Roman" w:cs="Times New Roman"/>
          <w:sz w:val="24"/>
          <w:szCs w:val="24"/>
        </w:rPr>
        <w:t>Inggris</w:t>
      </w:r>
      <w:proofErr w:type="spellEnd"/>
      <w:r w:rsidRPr="004E72C8">
        <w:rPr>
          <w:rFonts w:ascii="Times New Roman" w:hAnsi="Times New Roman" w:cs="Times New Roman"/>
          <w:sz w:val="24"/>
          <w:szCs w:val="24"/>
        </w:rPr>
        <w:t xml:space="preserve">, di mana </w:t>
      </w:r>
      <w:proofErr w:type="spellStart"/>
      <w:r w:rsidRPr="004E72C8">
        <w:rPr>
          <w:rFonts w:ascii="Times New Roman" w:hAnsi="Times New Roman" w:cs="Times New Roman"/>
          <w:sz w:val="24"/>
          <w:szCs w:val="24"/>
        </w:rPr>
        <w:t>penerapan</w:t>
      </w:r>
      <w:proofErr w:type="spellEnd"/>
      <w:r w:rsidRPr="004E72C8">
        <w:rPr>
          <w:rFonts w:ascii="Times New Roman" w:hAnsi="Times New Roman" w:cs="Times New Roman"/>
          <w:sz w:val="24"/>
          <w:szCs w:val="24"/>
        </w:rPr>
        <w:t xml:space="preserve"> </w:t>
      </w:r>
      <w:r w:rsidRPr="00122030">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harus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melalui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prosedur</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jelas</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diuji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melalui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tinggi</w:t>
      </w:r>
      <w:proofErr w:type="spellEnd"/>
      <w:r w:rsidRPr="004E72C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42ABA">
        <w:rPr>
          <w:rFonts w:ascii="Times New Roman" w:hAnsi="Times New Roman" w:cs="Times New Roman"/>
          <w:sz w:val="24"/>
          <w:szCs w:val="24"/>
        </w:rPr>
        <w:instrText>ADDIN CSL_CITATION {"citationItems":[{"id":"ITEM-1","itemData":{"DOI":"10.15779/Z38HM52K8B","ISSN":"00081221","abstract":"This Note focuses on the power of the federal judiciary to hold litigants in contempt of court. In particular, this Note analyzes whether the contempt power of the federal judiciary stems from an inherent grant of power in the Constitution or whether it is derived purely from acts of Congress. The extent to which Congress can limit judges' power to punish contempt depends on whether judges have an inherent power to punish contempt. Because judges have used the power to punish in ways that abridge individual liberties and civil rights, it is imperative that Congress be aware of whether it can constitutionally limit judicial conduct vis-a-vis contempt. Part I of this Note outlines what judges and scholars have written about an inherent judicial contempt power. Part II of this Note explores whether the drafters and ratifiers of the Constitution intended to vest the judiciary with an inherent contempt power. In doing so, this Note examines the most important sources from the Founding Era. Those sources include texts from pre-revolutionary British legal practice, American colonial practice, revolutionary state practice, the ratification debates, and the actions of the Founders immediately following the ratification of the Constitution. By tracing the history of the contempt power from British practice all the way to constitutional ratification, this Note provides a comprehensive overview of how the thoughts of the framers changed over time and what the framers finally intended with regard to contempt when they drafted the Constitution. This Note argues that the framers did not intend to create an inherent judicial contempt power and that judges' contempt power is therefore under Congress's control.","author":[{"dropping-particle":"","family":"Katz","given":"Emile J.","non-dropping-particle":"","parse-names":false,"suffix":""}],"container-title":"California Law Review","id":"ITEM-1","issue":"5","issued":{"date-parts":[["2021"]]},"page":"1913-1958","title":"The “Judicial Power” and Contempt of Court: A Historical Analysis of the Contempt Power as Understood by the Founders","type":"article-journal","volume":"109"},"locator":"1913-1958","uris":["http://www.mendeley.com/documents/?uuid=5fbbd0f5-9891-4516-bdc1-a44649d0bde1"]}],"mendeley":{"formattedCitation":"[22, pp. 1913–1958]","plainTextFormattedCitation":"[22, pp. 1913–1958]","previouslyFormattedCitation":"[22, pp. 1913–1958]"},"properties":{"noteIndex":0},"schema":"https://github.com/citation-style-language/schema/raw/master/csl-citation.json"}</w:instrText>
      </w:r>
      <w:r>
        <w:rPr>
          <w:rFonts w:ascii="Times New Roman" w:hAnsi="Times New Roman" w:cs="Times New Roman"/>
          <w:sz w:val="24"/>
          <w:szCs w:val="24"/>
        </w:rPr>
        <w:fldChar w:fldCharType="separate"/>
      </w:r>
      <w:r w:rsidR="00F42ABA" w:rsidRPr="00F42ABA">
        <w:rPr>
          <w:rFonts w:ascii="Times New Roman" w:hAnsi="Times New Roman" w:cs="Times New Roman"/>
          <w:noProof/>
          <w:sz w:val="24"/>
          <w:szCs w:val="24"/>
        </w:rPr>
        <w:t>[22, pp. 1913–1958]</w:t>
      </w:r>
      <w:r>
        <w:rPr>
          <w:rFonts w:ascii="Times New Roman" w:hAnsi="Times New Roman" w:cs="Times New Roman"/>
          <w:sz w:val="24"/>
          <w:szCs w:val="24"/>
        </w:rPr>
        <w:fldChar w:fldCharType="end"/>
      </w:r>
      <w:r>
        <w:rPr>
          <w:rFonts w:ascii="Times New Roman" w:hAnsi="Times New Roman" w:cs="Times New Roman"/>
          <w:sz w:val="24"/>
          <w:szCs w:val="24"/>
        </w:rPr>
        <w:t>.</w:t>
      </w:r>
    </w:p>
    <w:p w14:paraId="08B58E11" w14:textId="77777777"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demikian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pembekuan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sumpah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kasus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dilihat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bentuk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diskresi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yudisial</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berlebihan</w:t>
      </w:r>
      <w:proofErr w:type="spellEnd"/>
      <w:r w:rsidRPr="004E72C8">
        <w:rPr>
          <w:rFonts w:ascii="Times New Roman" w:hAnsi="Times New Roman" w:cs="Times New Roman"/>
          <w:sz w:val="24"/>
          <w:szCs w:val="24"/>
        </w:rPr>
        <w:t xml:space="preserve">. Jika </w:t>
      </w:r>
      <w:proofErr w:type="spellStart"/>
      <w:r w:rsidRPr="004E72C8">
        <w:rPr>
          <w:rFonts w:ascii="Times New Roman" w:hAnsi="Times New Roman" w:cs="Times New Roman"/>
          <w:sz w:val="24"/>
          <w:szCs w:val="24"/>
        </w:rPr>
        <w:t>dibiarkan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tanpa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kontrol</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jelas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hal</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menciptakan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preseden</w:t>
      </w:r>
      <w:proofErr w:type="spellEnd"/>
      <w:r w:rsidRPr="004E72C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E72C8">
        <w:rPr>
          <w:rFonts w:ascii="Times New Roman" w:hAnsi="Times New Roman" w:cs="Times New Roman"/>
          <w:sz w:val="24"/>
          <w:szCs w:val="24"/>
        </w:rPr>
        <w:t>berbahaya</w:t>
      </w:r>
      <w:proofErr w:type="spellEnd"/>
      <w:r>
        <w:rPr>
          <w:rFonts w:ascii="Times New Roman" w:hAnsi="Times New Roman" w:cs="Times New Roman"/>
          <w:sz w:val="24"/>
          <w:szCs w:val="24"/>
        </w:rPr>
        <w:t>”</w:t>
      </w:r>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memungkinkan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tinggi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mengambil</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tindakan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serupa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lainnya</w:t>
      </w:r>
      <w:proofErr w:type="spellEnd"/>
      <w:r w:rsidRPr="004E72C8">
        <w:rPr>
          <w:rFonts w:ascii="Times New Roman" w:hAnsi="Times New Roman" w:cs="Times New Roman"/>
          <w:sz w:val="24"/>
          <w:szCs w:val="24"/>
        </w:rPr>
        <w:t xml:space="preserve"> di masa </w:t>
      </w:r>
      <w:proofErr w:type="spellStart"/>
      <w:r w:rsidRPr="004E72C8">
        <w:rPr>
          <w:rFonts w:ascii="Times New Roman" w:hAnsi="Times New Roman" w:cs="Times New Roman"/>
          <w:sz w:val="24"/>
          <w:szCs w:val="24"/>
        </w:rPr>
        <w:t>mendatang</w:t>
      </w:r>
      <w:proofErr w:type="spellEnd"/>
      <w:r w:rsidRPr="004E72C8">
        <w:rPr>
          <w:rFonts w:ascii="Times New Roman" w:hAnsi="Times New Roman" w:cs="Times New Roman"/>
          <w:sz w:val="24"/>
          <w:szCs w:val="24"/>
        </w:rPr>
        <w:t xml:space="preserve">. Oleh </w:t>
      </w:r>
      <w:proofErr w:type="spellStart"/>
      <w:r w:rsidRPr="004E72C8">
        <w:rPr>
          <w:rFonts w:ascii="Times New Roman" w:hAnsi="Times New Roman" w:cs="Times New Roman"/>
          <w:sz w:val="24"/>
          <w:szCs w:val="24"/>
        </w:rPr>
        <w:t>karena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itu</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diperlukan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revisi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regulasi</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ketat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mengenai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penerapan</w:t>
      </w:r>
      <w:proofErr w:type="spellEnd"/>
      <w:r w:rsidRPr="004E72C8">
        <w:rPr>
          <w:rFonts w:ascii="Times New Roman" w:hAnsi="Times New Roman" w:cs="Times New Roman"/>
          <w:sz w:val="24"/>
          <w:szCs w:val="24"/>
        </w:rPr>
        <w:t xml:space="preserve"> </w:t>
      </w:r>
      <w:r w:rsidRPr="00FA724C">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agar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digunakan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sewenang-wenang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membatasi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w:t>
      </w:r>
    </w:p>
    <w:p w14:paraId="3817D115" w14:textId="77777777" w:rsidR="00257986" w:rsidRPr="004E72C8"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menghindari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potensi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penyalahgunaan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penting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bagi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Mahkamah</w:t>
      </w:r>
      <w:proofErr w:type="spellEnd"/>
      <w:r w:rsidRPr="004E72C8">
        <w:rPr>
          <w:rFonts w:ascii="Times New Roman" w:hAnsi="Times New Roman" w:cs="Times New Roman"/>
          <w:sz w:val="24"/>
          <w:szCs w:val="24"/>
        </w:rPr>
        <w:t xml:space="preserve"> Agung dan </w:t>
      </w:r>
      <w:proofErr w:type="spellStart"/>
      <w:r w:rsidRPr="004E72C8">
        <w:rPr>
          <w:rFonts w:ascii="Times New Roman" w:hAnsi="Times New Roman" w:cs="Times New Roman"/>
          <w:sz w:val="24"/>
          <w:szCs w:val="24"/>
        </w:rPr>
        <w:t>organisasi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untuk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merumuskan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pedoman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spesifik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mengenai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batasan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kewenangan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menjatuhkan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sanksi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adanya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mekanisme</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pengawasan</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lebih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ketat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diharapkan</w:t>
      </w:r>
      <w:proofErr w:type="spellEnd"/>
      <w:r w:rsidRPr="004E72C8">
        <w:rPr>
          <w:rFonts w:ascii="Times New Roman" w:hAnsi="Times New Roman" w:cs="Times New Roman"/>
          <w:sz w:val="24"/>
          <w:szCs w:val="24"/>
        </w:rPr>
        <w:t xml:space="preserve"> </w:t>
      </w:r>
      <w:r w:rsidRPr="00FA724C">
        <w:rPr>
          <w:rFonts w:ascii="Times New Roman" w:hAnsi="Times New Roman" w:cs="Times New Roman"/>
          <w:i/>
          <w:iCs/>
          <w:sz w:val="24"/>
          <w:szCs w:val="24"/>
        </w:rPr>
        <w:t>contempt of court</w:t>
      </w:r>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digunakan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proporsional</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alat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penegakan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bukan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instrumen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pembungkaman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terhadap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profesi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lastRenderedPageBreak/>
        <w:t>advokat</w:t>
      </w:r>
      <w:proofErr w:type="spellEnd"/>
      <w:r w:rsidRPr="004E72C8">
        <w:rPr>
          <w:rFonts w:ascii="Times New Roman" w:hAnsi="Times New Roman" w:cs="Times New Roman"/>
          <w:sz w:val="24"/>
          <w:szCs w:val="24"/>
        </w:rPr>
        <w:t>.</w:t>
      </w:r>
    </w:p>
    <w:p w14:paraId="04BCE13C" w14:textId="3789ACCC" w:rsidR="00257986" w:rsidRDefault="00257986" w:rsidP="002D0621">
      <w:pPr>
        <w:widowControl w:val="0"/>
        <w:pBdr>
          <w:top w:val="nil"/>
          <w:left w:val="nil"/>
          <w:bottom w:val="nil"/>
          <w:right w:val="nil"/>
          <w:between w:val="nil"/>
        </w:pBdr>
        <w:spacing w:line="240" w:lineRule="auto"/>
        <w:ind w:left="709" w:right="-1" w:firstLine="552"/>
        <w:jc w:val="both"/>
        <w:rPr>
          <w:rFonts w:ascii="Times New Roman" w:hAnsi="Times New Roman" w:cs="Times New Roman"/>
          <w:sz w:val="24"/>
          <w:szCs w:val="24"/>
        </w:rPr>
      </w:pPr>
      <w:r w:rsidRPr="004E72C8">
        <w:rPr>
          <w:rFonts w:ascii="Times New Roman" w:hAnsi="Times New Roman" w:cs="Times New Roman"/>
          <w:sz w:val="24"/>
          <w:szCs w:val="24"/>
        </w:rPr>
        <w:t xml:space="preserve">Pada </w:t>
      </w:r>
      <w:proofErr w:type="spellStart"/>
      <w:r w:rsidRPr="004E72C8">
        <w:rPr>
          <w:rFonts w:ascii="Times New Roman" w:hAnsi="Times New Roman" w:cs="Times New Roman"/>
          <w:sz w:val="24"/>
          <w:szCs w:val="24"/>
        </w:rPr>
        <w:t>akhirnya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supremasi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dapat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terwujud</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apabila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seluruh</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elemen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menjalankan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kewenangannya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secara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transparan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akuntabel</w:t>
      </w:r>
      <w:proofErr w:type="spellEnd"/>
      <w:r w:rsidRPr="004E72C8">
        <w:rPr>
          <w:rFonts w:ascii="Times New Roman" w:hAnsi="Times New Roman" w:cs="Times New Roman"/>
          <w:sz w:val="24"/>
          <w:szCs w:val="24"/>
        </w:rPr>
        <w:t xml:space="preserve">, dan </w:t>
      </w:r>
      <w:proofErr w:type="spellStart"/>
      <w:r w:rsidRPr="004E72C8">
        <w:rPr>
          <w:rFonts w:ascii="Times New Roman" w:hAnsi="Times New Roman" w:cs="Times New Roman"/>
          <w:sz w:val="24"/>
          <w:szCs w:val="24"/>
        </w:rPr>
        <w:t>sesuai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dengan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prinsip-prinsip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Independensi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advokat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harus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tetap</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dijaga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sebagai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bagian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dari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sistem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berimbang</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sementara</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kewenangan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pengadilan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dalam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menegakkan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disiplin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persidangan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harus</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dibatasi</w:t>
      </w:r>
      <w:proofErr w:type="spellEnd"/>
      <w:r w:rsidRPr="004E72C8">
        <w:rPr>
          <w:rFonts w:ascii="Times New Roman" w:hAnsi="Times New Roman" w:cs="Times New Roman"/>
          <w:sz w:val="24"/>
          <w:szCs w:val="24"/>
        </w:rPr>
        <w:t xml:space="preserve"> agar </w:t>
      </w:r>
      <w:proofErr w:type="spellStart"/>
      <w:r w:rsidRPr="004E72C8">
        <w:rPr>
          <w:rFonts w:ascii="Times New Roman" w:hAnsi="Times New Roman" w:cs="Times New Roman"/>
          <w:sz w:val="24"/>
          <w:szCs w:val="24"/>
        </w:rPr>
        <w:t>tidak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menjadi</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alat</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represi</w:t>
      </w:r>
      <w:proofErr w:type="spellEnd"/>
      <w:r w:rsidRPr="004E72C8">
        <w:rPr>
          <w:rFonts w:ascii="Times New Roman" w:hAnsi="Times New Roman" w:cs="Times New Roman"/>
          <w:sz w:val="24"/>
          <w:szCs w:val="24"/>
        </w:rPr>
        <w:t xml:space="preserve"> yang </w:t>
      </w:r>
      <w:proofErr w:type="spellStart"/>
      <w:r w:rsidRPr="004E72C8">
        <w:rPr>
          <w:rFonts w:ascii="Times New Roman" w:hAnsi="Times New Roman" w:cs="Times New Roman"/>
          <w:sz w:val="24"/>
          <w:szCs w:val="24"/>
        </w:rPr>
        <w:t>merugikan</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hak-hak</w:t>
      </w:r>
      <w:proofErr w:type="spellEnd"/>
      <w:r w:rsidRPr="004E72C8">
        <w:rPr>
          <w:rFonts w:ascii="Times New Roman" w:hAnsi="Times New Roman" w:cs="Times New Roman"/>
          <w:sz w:val="24"/>
          <w:szCs w:val="24"/>
        </w:rPr>
        <w:t xml:space="preserve"> fundamental para </w:t>
      </w:r>
      <w:proofErr w:type="spellStart"/>
      <w:r w:rsidRPr="004E72C8">
        <w:rPr>
          <w:rFonts w:ascii="Times New Roman" w:hAnsi="Times New Roman" w:cs="Times New Roman"/>
          <w:sz w:val="24"/>
          <w:szCs w:val="24"/>
        </w:rPr>
        <w:t>penegak</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hukum</w:t>
      </w:r>
      <w:proofErr w:type="spellEnd"/>
      <w:r w:rsidRPr="004E72C8">
        <w:rPr>
          <w:rFonts w:ascii="Times New Roman" w:hAnsi="Times New Roman" w:cs="Times New Roman"/>
          <w:sz w:val="24"/>
          <w:szCs w:val="24"/>
        </w:rPr>
        <w:t xml:space="preserve"> </w:t>
      </w:r>
      <w:proofErr w:type="spellStart"/>
      <w:r w:rsidRPr="004E72C8">
        <w:rPr>
          <w:rFonts w:ascii="Times New Roman" w:hAnsi="Times New Roman" w:cs="Times New Roman"/>
          <w:sz w:val="24"/>
          <w:szCs w:val="24"/>
        </w:rPr>
        <w:t>lainnya</w:t>
      </w:r>
      <w:proofErr w:type="spellEnd"/>
      <w:r w:rsidRPr="004E72C8">
        <w:rPr>
          <w:rFonts w:ascii="Times New Roman" w:hAnsi="Times New Roman" w:cs="Times New Roman"/>
          <w:sz w:val="24"/>
          <w:szCs w:val="24"/>
        </w:rPr>
        <w:t>.</w:t>
      </w:r>
    </w:p>
    <w:p w14:paraId="4971D58C" w14:textId="77777777" w:rsidR="002D0621" w:rsidRPr="002D0621" w:rsidRDefault="002D0621" w:rsidP="002D062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roofErr w:type="spellStart"/>
      <w:r w:rsidRPr="002D0621">
        <w:rPr>
          <w:rFonts w:ascii="Times New Roman" w:eastAsia="Times New Roman" w:hAnsi="Times New Roman" w:cs="Times New Roman"/>
          <w:b/>
          <w:color w:val="000000"/>
          <w:sz w:val="24"/>
          <w:szCs w:val="24"/>
        </w:rPr>
        <w:t>Refleksi</w:t>
      </w:r>
      <w:proofErr w:type="spellEnd"/>
      <w:r w:rsidRPr="002D0621">
        <w:rPr>
          <w:rFonts w:ascii="Times New Roman" w:eastAsia="Times New Roman" w:hAnsi="Times New Roman" w:cs="Times New Roman"/>
          <w:b/>
          <w:color w:val="000000"/>
          <w:sz w:val="24"/>
          <w:szCs w:val="24"/>
        </w:rPr>
        <w:t xml:space="preserve"> </w:t>
      </w:r>
      <w:proofErr w:type="spellStart"/>
      <w:r w:rsidRPr="002D0621">
        <w:rPr>
          <w:rFonts w:ascii="Times New Roman" w:eastAsia="Times New Roman" w:hAnsi="Times New Roman" w:cs="Times New Roman"/>
          <w:b/>
          <w:color w:val="000000"/>
          <w:sz w:val="24"/>
          <w:szCs w:val="24"/>
        </w:rPr>
        <w:t>Kritis</w:t>
      </w:r>
      <w:proofErr w:type="spellEnd"/>
      <w:r w:rsidRPr="002D0621">
        <w:rPr>
          <w:rFonts w:ascii="Times New Roman" w:eastAsia="Times New Roman" w:hAnsi="Times New Roman" w:cs="Times New Roman"/>
          <w:b/>
          <w:color w:val="000000"/>
          <w:sz w:val="24"/>
          <w:szCs w:val="24"/>
        </w:rPr>
        <w:t xml:space="preserve"> dan </w:t>
      </w:r>
      <w:proofErr w:type="spellStart"/>
      <w:r w:rsidRPr="002D0621">
        <w:rPr>
          <w:rFonts w:ascii="Times New Roman" w:eastAsia="Times New Roman" w:hAnsi="Times New Roman" w:cs="Times New Roman"/>
          <w:b/>
          <w:color w:val="000000"/>
          <w:sz w:val="24"/>
          <w:szCs w:val="24"/>
        </w:rPr>
        <w:t>Implikasi</w:t>
      </w:r>
      <w:proofErr w:type="spellEnd"/>
      <w:r w:rsidRPr="002D0621">
        <w:rPr>
          <w:rFonts w:ascii="Times New Roman" w:eastAsia="Times New Roman" w:hAnsi="Times New Roman" w:cs="Times New Roman"/>
          <w:b/>
          <w:color w:val="000000"/>
          <w:sz w:val="24"/>
          <w:szCs w:val="24"/>
        </w:rPr>
        <w:t xml:space="preserve"> </w:t>
      </w:r>
      <w:proofErr w:type="spellStart"/>
      <w:r w:rsidRPr="002D0621">
        <w:rPr>
          <w:rFonts w:ascii="Times New Roman" w:eastAsia="Times New Roman" w:hAnsi="Times New Roman" w:cs="Times New Roman"/>
          <w:b/>
          <w:color w:val="000000"/>
          <w:sz w:val="24"/>
          <w:szCs w:val="24"/>
        </w:rPr>
        <w:t>Normatif</w:t>
      </w:r>
      <w:proofErr w:type="spellEnd"/>
    </w:p>
    <w:p w14:paraId="2F1A3C98" w14:textId="77777777" w:rsidR="002D0621" w:rsidRPr="00555D13" w:rsidRDefault="002D0621"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roofErr w:type="spellStart"/>
      <w:r w:rsidRPr="002D0621">
        <w:rPr>
          <w:rFonts w:ascii="Times New Roman" w:hAnsi="Times New Roman" w:cs="Times New Roman"/>
          <w:sz w:val="24"/>
          <w:szCs w:val="24"/>
        </w:rPr>
        <w:t>Temuan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penelitian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ini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mengarah</w:t>
      </w:r>
      <w:proofErr w:type="spellEnd"/>
      <w:r w:rsidRPr="00555D13">
        <w:rPr>
          <w:rFonts w:ascii="Times New Roman" w:hAnsi="Times New Roman" w:cs="Times New Roman"/>
          <w:sz w:val="24"/>
          <w:szCs w:val="24"/>
        </w:rPr>
        <w:t xml:space="preserve"> pada </w:t>
      </w:r>
      <w:proofErr w:type="spellStart"/>
      <w:r w:rsidRPr="00555D13">
        <w:rPr>
          <w:rFonts w:ascii="Times New Roman" w:hAnsi="Times New Roman" w:cs="Times New Roman"/>
          <w:sz w:val="24"/>
          <w:szCs w:val="24"/>
        </w:rPr>
        <w:t>refleksi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kritis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bahwa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pembekuan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berita</w:t>
      </w:r>
      <w:proofErr w:type="spellEnd"/>
      <w:r w:rsidRPr="00555D13">
        <w:rPr>
          <w:rFonts w:ascii="Times New Roman" w:hAnsi="Times New Roman" w:cs="Times New Roman"/>
          <w:sz w:val="24"/>
          <w:szCs w:val="24"/>
        </w:rPr>
        <w:t xml:space="preserve"> acara </w:t>
      </w:r>
      <w:proofErr w:type="spellStart"/>
      <w:r w:rsidRPr="00555D13">
        <w:rPr>
          <w:rFonts w:ascii="Times New Roman" w:hAnsi="Times New Roman" w:cs="Times New Roman"/>
          <w:sz w:val="24"/>
          <w:szCs w:val="24"/>
        </w:rPr>
        <w:t>sumpah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kasus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Nomor</w:t>
      </w:r>
      <w:proofErr w:type="spellEnd"/>
      <w:r w:rsidRPr="00555D13">
        <w:rPr>
          <w:rFonts w:ascii="Times New Roman" w:hAnsi="Times New Roman" w:cs="Times New Roman"/>
          <w:sz w:val="24"/>
          <w:szCs w:val="24"/>
        </w:rPr>
        <w:t>: 1057/</w:t>
      </w:r>
      <w:proofErr w:type="spellStart"/>
      <w:r w:rsidRPr="00555D13">
        <w:rPr>
          <w:rFonts w:ascii="Times New Roman" w:hAnsi="Times New Roman" w:cs="Times New Roman"/>
          <w:sz w:val="24"/>
          <w:szCs w:val="24"/>
        </w:rPr>
        <w:t>Pid.B</w:t>
      </w:r>
      <w:proofErr w:type="spellEnd"/>
      <w:r w:rsidRPr="00555D13">
        <w:rPr>
          <w:rFonts w:ascii="Times New Roman" w:hAnsi="Times New Roman" w:cs="Times New Roman"/>
          <w:sz w:val="24"/>
          <w:szCs w:val="24"/>
        </w:rPr>
        <w:t>/2024/</w:t>
      </w:r>
      <w:proofErr w:type="spellStart"/>
      <w:proofErr w:type="gramStart"/>
      <w:r w:rsidRPr="00555D13">
        <w:rPr>
          <w:rFonts w:ascii="Times New Roman" w:hAnsi="Times New Roman" w:cs="Times New Roman"/>
          <w:sz w:val="24"/>
          <w:szCs w:val="24"/>
        </w:rPr>
        <w:t>PN.Jkt.Utr</w:t>
      </w:r>
      <w:proofErr w:type="spellEnd"/>
      <w:proofErr w:type="gram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lebih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dari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sekadar</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tindakan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administratif</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tetapi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merupakan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bagian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dari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dialektika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hukum</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lebih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luas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antara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independensi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profesi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dan </w:t>
      </w:r>
      <w:proofErr w:type="spellStart"/>
      <w:r w:rsidRPr="00555D13">
        <w:rPr>
          <w:rFonts w:ascii="Times New Roman" w:hAnsi="Times New Roman" w:cs="Times New Roman"/>
          <w:sz w:val="24"/>
          <w:szCs w:val="24"/>
        </w:rPr>
        <w:t>supremasi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pengadilan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menjaga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ketertiban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persidangan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Secara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normatif</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tindakan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ini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tidak</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memiliki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landasan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hukum</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eksplisit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sehingga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membuka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ruang</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bagi</w:t>
      </w:r>
      <w:proofErr w:type="spellEnd"/>
      <w:r w:rsidRPr="00555D13">
        <w:rPr>
          <w:rFonts w:ascii="Times New Roman" w:hAnsi="Times New Roman" w:cs="Times New Roman"/>
          <w:sz w:val="24"/>
          <w:szCs w:val="24"/>
        </w:rPr>
        <w:t xml:space="preserve"> tafsir </w:t>
      </w:r>
      <w:proofErr w:type="spellStart"/>
      <w:r w:rsidRPr="00555D13">
        <w:rPr>
          <w:rFonts w:ascii="Times New Roman" w:hAnsi="Times New Roman" w:cs="Times New Roman"/>
          <w:sz w:val="24"/>
          <w:szCs w:val="24"/>
        </w:rPr>
        <w:t>yudisial</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bervariasi</w:t>
      </w:r>
      <w:proofErr w:type="spellEnd"/>
      <w:r w:rsidRPr="00555D13">
        <w:rPr>
          <w:rFonts w:ascii="Times New Roman" w:hAnsi="Times New Roman" w:cs="Times New Roman"/>
          <w:sz w:val="24"/>
          <w:szCs w:val="24"/>
        </w:rPr>
        <w:t xml:space="preserve"> dan </w:t>
      </w:r>
      <w:proofErr w:type="spellStart"/>
      <w:r w:rsidRPr="00555D13">
        <w:rPr>
          <w:rFonts w:ascii="Times New Roman" w:hAnsi="Times New Roman" w:cs="Times New Roman"/>
          <w:sz w:val="24"/>
          <w:szCs w:val="24"/>
        </w:rPr>
        <w:t>berpotensi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melahirkan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praktik</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hukum</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sewenang-wenang</w:t>
      </w:r>
      <w:proofErr w:type="spellEnd"/>
      <w:r w:rsidRPr="00555D13">
        <w:rPr>
          <w:rFonts w:ascii="Times New Roman" w:hAnsi="Times New Roman" w:cs="Times New Roman"/>
          <w:sz w:val="24"/>
          <w:szCs w:val="24"/>
        </w:rPr>
        <w:t>.</w:t>
      </w:r>
    </w:p>
    <w:p w14:paraId="1C9359CE" w14:textId="77777777" w:rsidR="002D0621" w:rsidRPr="00555D13" w:rsidRDefault="002D0621"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555D13">
        <w:rPr>
          <w:rFonts w:ascii="Times New Roman" w:hAnsi="Times New Roman" w:cs="Times New Roman"/>
          <w:sz w:val="24"/>
          <w:szCs w:val="24"/>
        </w:rPr>
        <w:t xml:space="preserve">Dari </w:t>
      </w:r>
      <w:proofErr w:type="spellStart"/>
      <w:r w:rsidRPr="00555D13">
        <w:rPr>
          <w:rFonts w:ascii="Times New Roman" w:hAnsi="Times New Roman" w:cs="Times New Roman"/>
          <w:sz w:val="24"/>
          <w:szCs w:val="24"/>
        </w:rPr>
        <w:t>sudut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pandang</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teori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keadilan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prosedural</w:t>
      </w:r>
      <w:proofErr w:type="spellEnd"/>
      <w:r w:rsidRPr="00555D13">
        <w:rPr>
          <w:rFonts w:ascii="Times New Roman" w:hAnsi="Times New Roman" w:cs="Times New Roman"/>
          <w:sz w:val="24"/>
          <w:szCs w:val="24"/>
        </w:rPr>
        <w:t xml:space="preserve"> (</w:t>
      </w:r>
      <w:r w:rsidRPr="00555D13">
        <w:rPr>
          <w:rFonts w:ascii="Times New Roman" w:hAnsi="Times New Roman" w:cs="Times New Roman"/>
          <w:i/>
          <w:iCs/>
          <w:sz w:val="24"/>
          <w:szCs w:val="24"/>
        </w:rPr>
        <w:t>procedural justice theory</w:t>
      </w:r>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praktik</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pembekuan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sumpah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tanpa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mekanisme</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pengujian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lebih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lanjut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merupakan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pelanggaran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terhadap</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prinsip</w:t>
      </w:r>
      <w:proofErr w:type="spellEnd"/>
      <w:r w:rsidRPr="00555D13">
        <w:rPr>
          <w:rFonts w:ascii="Times New Roman" w:hAnsi="Times New Roman" w:cs="Times New Roman"/>
          <w:sz w:val="24"/>
          <w:szCs w:val="24"/>
        </w:rPr>
        <w:t xml:space="preserve"> </w:t>
      </w:r>
      <w:r w:rsidRPr="00555D13">
        <w:rPr>
          <w:rFonts w:ascii="Times New Roman" w:hAnsi="Times New Roman" w:cs="Times New Roman"/>
          <w:i/>
          <w:iCs/>
          <w:sz w:val="24"/>
          <w:szCs w:val="24"/>
        </w:rPr>
        <w:t>due process of law</w:t>
      </w:r>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Ketiadaan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mekanisme</w:t>
      </w:r>
      <w:proofErr w:type="spellEnd"/>
      <w:r w:rsidRPr="00555D13">
        <w:rPr>
          <w:rFonts w:ascii="Times New Roman" w:hAnsi="Times New Roman" w:cs="Times New Roman"/>
          <w:sz w:val="24"/>
          <w:szCs w:val="24"/>
        </w:rPr>
        <w:t xml:space="preserve"> banding </w:t>
      </w:r>
      <w:proofErr w:type="spellStart"/>
      <w:r w:rsidRPr="00555D13">
        <w:rPr>
          <w:rFonts w:ascii="Times New Roman" w:hAnsi="Times New Roman" w:cs="Times New Roman"/>
          <w:sz w:val="24"/>
          <w:szCs w:val="24"/>
        </w:rPr>
        <w:t>atau</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keberatan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terhadap</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keputusan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ini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berpotensi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melahirkan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krisis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kepercayaan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terhadap</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sistem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peradilan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terutama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konteks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perlindungan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hak-hak</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menjalankan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tugasnya</w:t>
      </w:r>
      <w:proofErr w:type="spellEnd"/>
      <w:r w:rsidRPr="00555D13">
        <w:rPr>
          <w:rFonts w:ascii="Times New Roman" w:hAnsi="Times New Roman" w:cs="Times New Roman"/>
          <w:sz w:val="24"/>
          <w:szCs w:val="24"/>
        </w:rPr>
        <w:t>.</w:t>
      </w:r>
    </w:p>
    <w:p w14:paraId="37B6CF5F" w14:textId="71C767F8" w:rsidR="002D0621" w:rsidRDefault="002D0621"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555D13">
        <w:rPr>
          <w:rFonts w:ascii="Times New Roman" w:hAnsi="Times New Roman" w:cs="Times New Roman"/>
          <w:sz w:val="24"/>
          <w:szCs w:val="24"/>
        </w:rPr>
        <w:t xml:space="preserve">Penelitian </w:t>
      </w:r>
      <w:proofErr w:type="spellStart"/>
      <w:r w:rsidRPr="00555D13">
        <w:rPr>
          <w:rFonts w:ascii="Times New Roman" w:hAnsi="Times New Roman" w:cs="Times New Roman"/>
          <w:sz w:val="24"/>
          <w:szCs w:val="24"/>
        </w:rPr>
        <w:t>ini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merekomendasikan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adanya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regulasi</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lebih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jelas</w:t>
      </w:r>
      <w:proofErr w:type="spellEnd"/>
      <w:r w:rsidRPr="00555D13">
        <w:rPr>
          <w:rFonts w:ascii="Times New Roman" w:hAnsi="Times New Roman" w:cs="Times New Roman"/>
          <w:sz w:val="24"/>
          <w:szCs w:val="24"/>
        </w:rPr>
        <w:t xml:space="preserve"> dan </w:t>
      </w:r>
      <w:proofErr w:type="spellStart"/>
      <w:r w:rsidRPr="00555D13">
        <w:rPr>
          <w:rFonts w:ascii="Times New Roman" w:hAnsi="Times New Roman" w:cs="Times New Roman"/>
          <w:sz w:val="24"/>
          <w:szCs w:val="24"/>
        </w:rPr>
        <w:t>terstruktur</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terkait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kewenangan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pengadilan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menangani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dianggap</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melanggar</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etika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persidangan</w:t>
      </w:r>
      <w:proofErr w:type="spellEnd"/>
      <w:r w:rsidRPr="00555D13">
        <w:rPr>
          <w:rFonts w:ascii="Times New Roman" w:hAnsi="Times New Roman" w:cs="Times New Roman"/>
          <w:sz w:val="24"/>
          <w:szCs w:val="24"/>
        </w:rPr>
        <w:t xml:space="preserve">. Selain </w:t>
      </w:r>
      <w:proofErr w:type="spellStart"/>
      <w:r w:rsidRPr="00555D13">
        <w:rPr>
          <w:rFonts w:ascii="Times New Roman" w:hAnsi="Times New Roman" w:cs="Times New Roman"/>
          <w:sz w:val="24"/>
          <w:szCs w:val="24"/>
        </w:rPr>
        <w:t>itu</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perlu</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mekanisme</w:t>
      </w:r>
      <w:proofErr w:type="spellEnd"/>
      <w:r w:rsidRPr="00555D13">
        <w:rPr>
          <w:rFonts w:ascii="Times New Roman" w:hAnsi="Times New Roman" w:cs="Times New Roman"/>
          <w:sz w:val="24"/>
          <w:szCs w:val="24"/>
        </w:rPr>
        <w:t xml:space="preserve"> uji </w:t>
      </w:r>
      <w:proofErr w:type="spellStart"/>
      <w:r w:rsidRPr="00555D13">
        <w:rPr>
          <w:rFonts w:ascii="Times New Roman" w:hAnsi="Times New Roman" w:cs="Times New Roman"/>
          <w:sz w:val="24"/>
          <w:szCs w:val="24"/>
        </w:rPr>
        <w:t>materi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atau</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prosedur</w:t>
      </w:r>
      <w:proofErr w:type="spellEnd"/>
      <w:r w:rsidRPr="00555D13">
        <w:rPr>
          <w:rFonts w:ascii="Times New Roman" w:hAnsi="Times New Roman" w:cs="Times New Roman"/>
          <w:sz w:val="24"/>
          <w:szCs w:val="24"/>
        </w:rPr>
        <w:t xml:space="preserve"> banding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hal</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pembekuan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berita</w:t>
      </w:r>
      <w:proofErr w:type="spellEnd"/>
      <w:r w:rsidRPr="00555D13">
        <w:rPr>
          <w:rFonts w:ascii="Times New Roman" w:hAnsi="Times New Roman" w:cs="Times New Roman"/>
          <w:sz w:val="24"/>
          <w:szCs w:val="24"/>
        </w:rPr>
        <w:t xml:space="preserve"> acara </w:t>
      </w:r>
      <w:proofErr w:type="spellStart"/>
      <w:r w:rsidRPr="00555D13">
        <w:rPr>
          <w:rFonts w:ascii="Times New Roman" w:hAnsi="Times New Roman" w:cs="Times New Roman"/>
          <w:sz w:val="24"/>
          <w:szCs w:val="24"/>
        </w:rPr>
        <w:t>sumpah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guna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mencegah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potensi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penyalahgunaan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wewenang</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Dengan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demikian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kajian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ini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tidak</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hanya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menghadirkan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analisis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konseptual</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mengenai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peristiwa</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terjadi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tetapi</w:t>
      </w:r>
      <w:proofErr w:type="spellEnd"/>
      <w:r w:rsidRPr="00555D13">
        <w:rPr>
          <w:rFonts w:ascii="Times New Roman" w:hAnsi="Times New Roman" w:cs="Times New Roman"/>
          <w:sz w:val="24"/>
          <w:szCs w:val="24"/>
        </w:rPr>
        <w:t xml:space="preserve"> juga </w:t>
      </w:r>
      <w:proofErr w:type="spellStart"/>
      <w:r w:rsidRPr="00555D13">
        <w:rPr>
          <w:rFonts w:ascii="Times New Roman" w:hAnsi="Times New Roman" w:cs="Times New Roman"/>
          <w:sz w:val="24"/>
          <w:szCs w:val="24"/>
        </w:rPr>
        <w:t>memberikan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kontribusi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perumusan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argumentasi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hukum</w:t>
      </w:r>
      <w:proofErr w:type="spellEnd"/>
      <w:r w:rsidRPr="00555D13">
        <w:rPr>
          <w:rFonts w:ascii="Times New Roman" w:hAnsi="Times New Roman" w:cs="Times New Roman"/>
          <w:sz w:val="24"/>
          <w:szCs w:val="24"/>
        </w:rPr>
        <w:t xml:space="preserve"> yang </w:t>
      </w:r>
      <w:proofErr w:type="spellStart"/>
      <w:r w:rsidRPr="00555D13">
        <w:rPr>
          <w:rFonts w:ascii="Times New Roman" w:hAnsi="Times New Roman" w:cs="Times New Roman"/>
          <w:sz w:val="24"/>
          <w:szCs w:val="24"/>
        </w:rPr>
        <w:t>lebih</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komprehensif</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guna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memperjelas</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batasan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kewenangan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pengadilan</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terhadap</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profesi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advokat</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serta</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urgensi</w:t>
      </w:r>
      <w:proofErr w:type="spellEnd"/>
      <w:r w:rsidRPr="00555D13">
        <w:rPr>
          <w:rFonts w:ascii="Times New Roman" w:hAnsi="Times New Roman" w:cs="Times New Roman"/>
          <w:sz w:val="24"/>
          <w:szCs w:val="24"/>
        </w:rPr>
        <w:t xml:space="preserve"> reformasi </w:t>
      </w:r>
      <w:proofErr w:type="spellStart"/>
      <w:r w:rsidRPr="00555D13">
        <w:rPr>
          <w:rFonts w:ascii="Times New Roman" w:hAnsi="Times New Roman" w:cs="Times New Roman"/>
          <w:sz w:val="24"/>
          <w:szCs w:val="24"/>
        </w:rPr>
        <w:t>regulasi</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dalam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sistem</w:t>
      </w:r>
      <w:proofErr w:type="spellEnd"/>
      <w:r w:rsidRPr="00555D13">
        <w:rPr>
          <w:rFonts w:ascii="Times New Roman" w:hAnsi="Times New Roman" w:cs="Times New Roman"/>
          <w:sz w:val="24"/>
          <w:szCs w:val="24"/>
        </w:rPr>
        <w:t xml:space="preserve"> </w:t>
      </w:r>
      <w:proofErr w:type="spellStart"/>
      <w:r w:rsidRPr="00555D13">
        <w:rPr>
          <w:rFonts w:ascii="Times New Roman" w:hAnsi="Times New Roman" w:cs="Times New Roman"/>
          <w:sz w:val="24"/>
          <w:szCs w:val="24"/>
        </w:rPr>
        <w:t>hukum</w:t>
      </w:r>
      <w:proofErr w:type="spellEnd"/>
      <w:r w:rsidRPr="00555D13">
        <w:rPr>
          <w:rFonts w:ascii="Times New Roman" w:hAnsi="Times New Roman" w:cs="Times New Roman"/>
          <w:sz w:val="24"/>
          <w:szCs w:val="24"/>
        </w:rPr>
        <w:t xml:space="preserve"> Indonesia.</w:t>
      </w:r>
    </w:p>
    <w:p w14:paraId="09EC9BF8" w14:textId="77777777" w:rsidR="002D0621" w:rsidRPr="00FA724C" w:rsidRDefault="002D0621"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
    <w:p w14:paraId="7E50FD87" w14:textId="77777777" w:rsidR="00F232DA" w:rsidRDefault="00186B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49A76690" w14:textId="454C568B" w:rsidR="002D0621" w:rsidRDefault="002D0621"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Book Antiqua" w:hAnsi="Times New Roman" w:cs="Times New Roman"/>
          <w:color w:val="000000"/>
          <w:sz w:val="24"/>
          <w:szCs w:val="24"/>
        </w:rPr>
      </w:pPr>
      <w:proofErr w:type="spellStart"/>
      <w:r w:rsidRPr="002D0621">
        <w:rPr>
          <w:rFonts w:ascii="Times New Roman" w:eastAsia="Times New Roman" w:hAnsi="Times New Roman" w:cs="Times New Roman"/>
          <w:color w:val="000000"/>
          <w:sz w:val="24"/>
          <w:szCs w:val="24"/>
        </w:rPr>
        <w:t>Berdasarkan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hasil</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penelitian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ini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dapat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disimpulkan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bahwa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penerapan</w:t>
      </w:r>
      <w:proofErr w:type="spellEnd"/>
      <w:r w:rsidRPr="00555D13">
        <w:rPr>
          <w:rFonts w:ascii="Times New Roman" w:eastAsia="Book Antiqua" w:hAnsi="Times New Roman" w:cs="Times New Roman"/>
          <w:color w:val="000000"/>
          <w:sz w:val="24"/>
          <w:szCs w:val="24"/>
        </w:rPr>
        <w:t xml:space="preserve"> </w:t>
      </w:r>
      <w:r w:rsidRPr="00555D13">
        <w:rPr>
          <w:rFonts w:ascii="Times New Roman" w:eastAsia="Book Antiqua" w:hAnsi="Times New Roman" w:cs="Times New Roman"/>
          <w:i/>
          <w:iCs/>
          <w:color w:val="000000"/>
          <w:sz w:val="24"/>
          <w:szCs w:val="24"/>
        </w:rPr>
        <w:t>contempt of court</w:t>
      </w:r>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dalam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konteks</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pembekuan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sumpah</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oleh </w:t>
      </w:r>
      <w:proofErr w:type="spellStart"/>
      <w:r w:rsidRPr="00555D13">
        <w:rPr>
          <w:rFonts w:ascii="Times New Roman" w:eastAsia="Book Antiqua" w:hAnsi="Times New Roman" w:cs="Times New Roman"/>
          <w:color w:val="000000"/>
          <w:sz w:val="24"/>
          <w:szCs w:val="24"/>
        </w:rPr>
        <w:t>Pengadilan</w:t>
      </w:r>
      <w:proofErr w:type="spellEnd"/>
      <w:r w:rsidRPr="00555D13">
        <w:rPr>
          <w:rFonts w:ascii="Times New Roman" w:eastAsia="Book Antiqua" w:hAnsi="Times New Roman" w:cs="Times New Roman"/>
          <w:color w:val="000000"/>
          <w:sz w:val="24"/>
          <w:szCs w:val="24"/>
        </w:rPr>
        <w:t xml:space="preserve"> Tinggi Ambon dan </w:t>
      </w:r>
      <w:proofErr w:type="spellStart"/>
      <w:r w:rsidRPr="00555D13">
        <w:rPr>
          <w:rFonts w:ascii="Times New Roman" w:eastAsia="Book Antiqua" w:hAnsi="Times New Roman" w:cs="Times New Roman"/>
          <w:color w:val="000000"/>
          <w:sz w:val="24"/>
          <w:szCs w:val="24"/>
        </w:rPr>
        <w:t>Pengadilan</w:t>
      </w:r>
      <w:proofErr w:type="spellEnd"/>
      <w:r w:rsidRPr="00555D13">
        <w:rPr>
          <w:rFonts w:ascii="Times New Roman" w:eastAsia="Book Antiqua" w:hAnsi="Times New Roman" w:cs="Times New Roman"/>
          <w:color w:val="000000"/>
          <w:sz w:val="24"/>
          <w:szCs w:val="24"/>
        </w:rPr>
        <w:t xml:space="preserve"> Tinggi Banten </w:t>
      </w:r>
      <w:proofErr w:type="spellStart"/>
      <w:r w:rsidRPr="00555D13">
        <w:rPr>
          <w:rFonts w:ascii="Times New Roman" w:eastAsia="Book Antiqua" w:hAnsi="Times New Roman" w:cs="Times New Roman"/>
          <w:color w:val="000000"/>
          <w:sz w:val="24"/>
          <w:szCs w:val="24"/>
        </w:rPr>
        <w:t>menimbulkan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berbagai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implikasi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hukum</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etik</w:t>
      </w:r>
      <w:proofErr w:type="spellEnd"/>
      <w:r w:rsidRPr="00555D13">
        <w:rPr>
          <w:rFonts w:ascii="Times New Roman" w:eastAsia="Book Antiqua" w:hAnsi="Times New Roman" w:cs="Times New Roman"/>
          <w:color w:val="000000"/>
          <w:sz w:val="24"/>
          <w:szCs w:val="24"/>
        </w:rPr>
        <w:t xml:space="preserve"> yang </w:t>
      </w:r>
      <w:proofErr w:type="spellStart"/>
      <w:r w:rsidRPr="00555D13">
        <w:rPr>
          <w:rFonts w:ascii="Times New Roman" w:eastAsia="Book Antiqua" w:hAnsi="Times New Roman" w:cs="Times New Roman"/>
          <w:color w:val="000000"/>
          <w:sz w:val="24"/>
          <w:szCs w:val="24"/>
        </w:rPr>
        <w:t>signifikan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Meskipun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bertujuan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untuk</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menegakkan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disiplin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persidangan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tindakan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tersebut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berpotensi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melampaui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batas</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kewenangan</w:t>
      </w:r>
      <w:proofErr w:type="spellEnd"/>
      <w:r w:rsidRPr="00555D13">
        <w:rPr>
          <w:rFonts w:ascii="Times New Roman" w:eastAsia="Book Antiqua" w:hAnsi="Times New Roman" w:cs="Times New Roman"/>
          <w:color w:val="000000"/>
          <w:sz w:val="24"/>
          <w:szCs w:val="24"/>
        </w:rPr>
        <w:t xml:space="preserve"> yang </w:t>
      </w:r>
      <w:proofErr w:type="spellStart"/>
      <w:r w:rsidRPr="00555D13">
        <w:rPr>
          <w:rFonts w:ascii="Times New Roman" w:eastAsia="Book Antiqua" w:hAnsi="Times New Roman" w:cs="Times New Roman"/>
          <w:color w:val="000000"/>
          <w:sz w:val="24"/>
          <w:szCs w:val="24"/>
        </w:rPr>
        <w:t>semestinya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dimiliki</w:t>
      </w:r>
      <w:proofErr w:type="spellEnd"/>
      <w:r w:rsidRPr="00555D13">
        <w:rPr>
          <w:rFonts w:ascii="Times New Roman" w:eastAsia="Book Antiqua" w:hAnsi="Times New Roman" w:cs="Times New Roman"/>
          <w:color w:val="000000"/>
          <w:sz w:val="24"/>
          <w:szCs w:val="24"/>
        </w:rPr>
        <w:t xml:space="preserve"> oleh </w:t>
      </w:r>
      <w:proofErr w:type="spellStart"/>
      <w:r w:rsidRPr="00555D13">
        <w:rPr>
          <w:rFonts w:ascii="Times New Roman" w:eastAsia="Book Antiqua" w:hAnsi="Times New Roman" w:cs="Times New Roman"/>
          <w:color w:val="000000"/>
          <w:sz w:val="24"/>
          <w:szCs w:val="24"/>
        </w:rPr>
        <w:t>pengadilan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tinggi</w:t>
      </w:r>
      <w:proofErr w:type="spellEnd"/>
      <w:r w:rsidRPr="00555D13">
        <w:rPr>
          <w:rFonts w:ascii="Times New Roman" w:eastAsia="Book Antiqua" w:hAnsi="Times New Roman" w:cs="Times New Roman"/>
          <w:color w:val="000000"/>
          <w:sz w:val="24"/>
          <w:szCs w:val="24"/>
        </w:rPr>
        <w:t xml:space="preserve">. Hal </w:t>
      </w:r>
      <w:proofErr w:type="spellStart"/>
      <w:r w:rsidRPr="00555D13">
        <w:rPr>
          <w:rFonts w:ascii="Times New Roman" w:eastAsia="Book Antiqua" w:hAnsi="Times New Roman" w:cs="Times New Roman"/>
          <w:color w:val="000000"/>
          <w:sz w:val="24"/>
          <w:szCs w:val="24"/>
        </w:rPr>
        <w:t>ini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menimbulkan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tantangan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terhadap</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independensi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profesi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serta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membuka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peluang</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penyalahgunaan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wewenang</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dalam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sistem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peradilan</w:t>
      </w:r>
      <w:proofErr w:type="spellEnd"/>
      <w:r w:rsidRPr="00555D13">
        <w:rPr>
          <w:rFonts w:ascii="Times New Roman" w:eastAsia="Book Antiqua" w:hAnsi="Times New Roman" w:cs="Times New Roman"/>
          <w:color w:val="000000"/>
          <w:sz w:val="24"/>
          <w:szCs w:val="24"/>
        </w:rPr>
        <w:t>.</w:t>
      </w:r>
      <w:r>
        <w:rPr>
          <w:rFonts w:ascii="Times New Roman" w:eastAsia="Book Antiqua" w:hAnsi="Times New Roman" w:cs="Times New Roman"/>
          <w:color w:val="000000"/>
          <w:sz w:val="24"/>
          <w:szCs w:val="24"/>
        </w:rPr>
        <w:t xml:space="preserve"> </w:t>
      </w:r>
      <w:r w:rsidRPr="00555D13">
        <w:rPr>
          <w:rFonts w:ascii="Times New Roman" w:eastAsia="Book Antiqua" w:hAnsi="Times New Roman" w:cs="Times New Roman"/>
          <w:color w:val="000000"/>
          <w:sz w:val="24"/>
          <w:szCs w:val="24"/>
        </w:rPr>
        <w:t xml:space="preserve">Selain </w:t>
      </w:r>
      <w:proofErr w:type="spellStart"/>
      <w:r w:rsidRPr="00555D13">
        <w:rPr>
          <w:rFonts w:ascii="Times New Roman" w:eastAsia="Book Antiqua" w:hAnsi="Times New Roman" w:cs="Times New Roman"/>
          <w:color w:val="000000"/>
          <w:sz w:val="24"/>
          <w:szCs w:val="24"/>
        </w:rPr>
        <w:t>itu</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penelitian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ini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menyoroti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perlunya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revisi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regulasi</w:t>
      </w:r>
      <w:proofErr w:type="spellEnd"/>
      <w:r w:rsidRPr="00555D13">
        <w:rPr>
          <w:rFonts w:ascii="Times New Roman" w:eastAsia="Book Antiqua" w:hAnsi="Times New Roman" w:cs="Times New Roman"/>
          <w:color w:val="000000"/>
          <w:sz w:val="24"/>
          <w:szCs w:val="24"/>
        </w:rPr>
        <w:t xml:space="preserve"> yang </w:t>
      </w:r>
      <w:proofErr w:type="spellStart"/>
      <w:r w:rsidRPr="00555D13">
        <w:rPr>
          <w:rFonts w:ascii="Times New Roman" w:eastAsia="Book Antiqua" w:hAnsi="Times New Roman" w:cs="Times New Roman"/>
          <w:color w:val="000000"/>
          <w:sz w:val="24"/>
          <w:szCs w:val="24"/>
        </w:rPr>
        <w:t>lebih</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ketat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dalam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penerapan</w:t>
      </w:r>
      <w:proofErr w:type="spellEnd"/>
      <w:r w:rsidRPr="00555D13">
        <w:rPr>
          <w:rFonts w:ascii="Times New Roman" w:eastAsia="Book Antiqua" w:hAnsi="Times New Roman" w:cs="Times New Roman"/>
          <w:color w:val="000000"/>
          <w:sz w:val="24"/>
          <w:szCs w:val="24"/>
        </w:rPr>
        <w:t xml:space="preserve"> </w:t>
      </w:r>
      <w:r w:rsidRPr="00555D13">
        <w:rPr>
          <w:rFonts w:ascii="Times New Roman" w:eastAsia="Book Antiqua" w:hAnsi="Times New Roman" w:cs="Times New Roman"/>
          <w:i/>
          <w:iCs/>
          <w:color w:val="000000"/>
          <w:sz w:val="24"/>
          <w:szCs w:val="24"/>
        </w:rPr>
        <w:t>contempt of court</w:t>
      </w:r>
      <w:r w:rsidRPr="00555D13">
        <w:rPr>
          <w:rFonts w:ascii="Times New Roman" w:eastAsia="Book Antiqua" w:hAnsi="Times New Roman" w:cs="Times New Roman"/>
          <w:color w:val="000000"/>
          <w:sz w:val="24"/>
          <w:szCs w:val="24"/>
        </w:rPr>
        <w:t xml:space="preserve"> agar </w:t>
      </w:r>
      <w:proofErr w:type="spellStart"/>
      <w:r w:rsidRPr="00555D13">
        <w:rPr>
          <w:rFonts w:ascii="Times New Roman" w:eastAsia="Book Antiqua" w:hAnsi="Times New Roman" w:cs="Times New Roman"/>
          <w:color w:val="000000"/>
          <w:sz w:val="24"/>
          <w:szCs w:val="24"/>
        </w:rPr>
        <w:t>tidak</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digunakan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sebagai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alat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pembungkaman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terhadap</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Prinsip</w:t>
      </w:r>
      <w:proofErr w:type="spellEnd"/>
      <w:r w:rsidRPr="00555D13">
        <w:rPr>
          <w:rFonts w:ascii="Times New Roman" w:eastAsia="Book Antiqua" w:hAnsi="Times New Roman" w:cs="Times New Roman"/>
          <w:color w:val="000000"/>
          <w:sz w:val="24"/>
          <w:szCs w:val="24"/>
        </w:rPr>
        <w:t xml:space="preserve"> </w:t>
      </w:r>
      <w:r w:rsidRPr="00555D13">
        <w:rPr>
          <w:rFonts w:ascii="Times New Roman" w:eastAsia="Book Antiqua" w:hAnsi="Times New Roman" w:cs="Times New Roman"/>
          <w:i/>
          <w:iCs/>
          <w:color w:val="000000"/>
          <w:sz w:val="24"/>
          <w:szCs w:val="24"/>
        </w:rPr>
        <w:t>due process of law</w:t>
      </w:r>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harus</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dijunjung</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tinggi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dengan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menjamin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adanya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mekanisme</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keberatan</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pembelaan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diri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bagi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yang </w:t>
      </w:r>
      <w:proofErr w:type="spellStart"/>
      <w:r w:rsidRPr="00555D13">
        <w:rPr>
          <w:rFonts w:ascii="Times New Roman" w:eastAsia="Book Antiqua" w:hAnsi="Times New Roman" w:cs="Times New Roman"/>
          <w:color w:val="000000"/>
          <w:sz w:val="24"/>
          <w:szCs w:val="24"/>
        </w:rPr>
        <w:t>dikenai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sanksi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Organisasi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Mahkamah</w:t>
      </w:r>
      <w:proofErr w:type="spellEnd"/>
      <w:r w:rsidRPr="00555D13">
        <w:rPr>
          <w:rFonts w:ascii="Times New Roman" w:eastAsia="Book Antiqua" w:hAnsi="Times New Roman" w:cs="Times New Roman"/>
          <w:color w:val="000000"/>
          <w:sz w:val="24"/>
          <w:szCs w:val="24"/>
        </w:rPr>
        <w:t xml:space="preserve"> Agung </w:t>
      </w:r>
      <w:proofErr w:type="spellStart"/>
      <w:r w:rsidRPr="00555D13">
        <w:rPr>
          <w:rFonts w:ascii="Times New Roman" w:eastAsia="Book Antiqua" w:hAnsi="Times New Roman" w:cs="Times New Roman"/>
          <w:color w:val="000000"/>
          <w:sz w:val="24"/>
          <w:szCs w:val="24"/>
        </w:rPr>
        <w:t>memiliki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penting</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dalam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memastikan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bahwa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kewenangan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yudisial</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digunakan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secara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transparan</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akuntabel</w:t>
      </w:r>
      <w:proofErr w:type="spellEnd"/>
      <w:r w:rsidRPr="00555D13">
        <w:rPr>
          <w:rFonts w:ascii="Times New Roman" w:eastAsia="Book Antiqua" w:hAnsi="Times New Roman" w:cs="Times New Roman"/>
          <w:color w:val="000000"/>
          <w:sz w:val="24"/>
          <w:szCs w:val="24"/>
        </w:rPr>
        <w:t>.</w:t>
      </w:r>
      <w:r>
        <w:rPr>
          <w:rFonts w:ascii="Times New Roman" w:eastAsia="Book Antiqua" w:hAnsi="Times New Roman" w:cs="Times New Roman"/>
          <w:color w:val="000000"/>
          <w:sz w:val="24"/>
          <w:szCs w:val="24"/>
        </w:rPr>
        <w:t xml:space="preserve"> </w:t>
      </w:r>
      <w:r w:rsidRPr="00555D13">
        <w:rPr>
          <w:rFonts w:ascii="Times New Roman" w:eastAsia="Book Antiqua" w:hAnsi="Times New Roman" w:cs="Times New Roman"/>
          <w:color w:val="000000"/>
          <w:sz w:val="24"/>
          <w:szCs w:val="24"/>
        </w:rPr>
        <w:t xml:space="preserve">Pada </w:t>
      </w:r>
      <w:proofErr w:type="spellStart"/>
      <w:r w:rsidRPr="00555D13">
        <w:rPr>
          <w:rFonts w:ascii="Times New Roman" w:eastAsia="Book Antiqua" w:hAnsi="Times New Roman" w:cs="Times New Roman"/>
          <w:color w:val="000000"/>
          <w:sz w:val="24"/>
          <w:szCs w:val="24"/>
        </w:rPr>
        <w:t>akhirnya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supremasi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hukum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hanya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dapat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diwujudkan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apabila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setiap</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elemen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dalam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sistem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peradilan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menjalankan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tugas</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kewenangannya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sesuai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dengan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prinsip</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keadilan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depan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diperlukan</w:t>
      </w:r>
      <w:proofErr w:type="spellEnd"/>
      <w:r w:rsidRPr="00555D13">
        <w:rPr>
          <w:rFonts w:ascii="Times New Roman" w:eastAsia="Book Antiqua" w:hAnsi="Times New Roman" w:cs="Times New Roman"/>
          <w:color w:val="000000"/>
          <w:sz w:val="24"/>
          <w:szCs w:val="24"/>
        </w:rPr>
        <w:t xml:space="preserve"> dialog yang </w:t>
      </w:r>
      <w:proofErr w:type="spellStart"/>
      <w:r w:rsidRPr="00555D13">
        <w:rPr>
          <w:rFonts w:ascii="Times New Roman" w:eastAsia="Book Antiqua" w:hAnsi="Times New Roman" w:cs="Times New Roman"/>
          <w:color w:val="000000"/>
          <w:sz w:val="24"/>
          <w:szCs w:val="24"/>
        </w:rPr>
        <w:t>lebih</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konstruktif</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antara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lembaga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peradilan</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organisasi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advokat</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guna</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menciptakan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sistem</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hukum</w:t>
      </w:r>
      <w:proofErr w:type="spellEnd"/>
      <w:r w:rsidRPr="00555D13">
        <w:rPr>
          <w:rFonts w:ascii="Times New Roman" w:eastAsia="Book Antiqua" w:hAnsi="Times New Roman" w:cs="Times New Roman"/>
          <w:color w:val="000000"/>
          <w:sz w:val="24"/>
          <w:szCs w:val="24"/>
        </w:rPr>
        <w:t xml:space="preserve"> yang </w:t>
      </w:r>
      <w:proofErr w:type="spellStart"/>
      <w:r w:rsidRPr="00555D13">
        <w:rPr>
          <w:rFonts w:ascii="Times New Roman" w:eastAsia="Book Antiqua" w:hAnsi="Times New Roman" w:cs="Times New Roman"/>
          <w:color w:val="000000"/>
          <w:sz w:val="24"/>
          <w:szCs w:val="24"/>
        </w:rPr>
        <w:t>berimbang</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adil</w:t>
      </w:r>
      <w:proofErr w:type="spellEnd"/>
      <w:r w:rsidRPr="00555D13">
        <w:rPr>
          <w:rFonts w:ascii="Times New Roman" w:eastAsia="Book Antiqua" w:hAnsi="Times New Roman" w:cs="Times New Roman"/>
          <w:color w:val="000000"/>
          <w:sz w:val="24"/>
          <w:szCs w:val="24"/>
        </w:rPr>
        <w:t xml:space="preserve">, dan </w:t>
      </w:r>
      <w:proofErr w:type="spellStart"/>
      <w:r w:rsidRPr="00555D13">
        <w:rPr>
          <w:rFonts w:ascii="Times New Roman" w:eastAsia="Book Antiqua" w:hAnsi="Times New Roman" w:cs="Times New Roman"/>
          <w:color w:val="000000"/>
          <w:sz w:val="24"/>
          <w:szCs w:val="24"/>
        </w:rPr>
        <w:t>tidak</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represif</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terhadap</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kebebasan</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profesi</w:t>
      </w:r>
      <w:proofErr w:type="spellEnd"/>
      <w:r w:rsidRPr="00555D13">
        <w:rPr>
          <w:rFonts w:ascii="Times New Roman" w:eastAsia="Book Antiqua" w:hAnsi="Times New Roman" w:cs="Times New Roman"/>
          <w:color w:val="000000"/>
          <w:sz w:val="24"/>
          <w:szCs w:val="24"/>
        </w:rPr>
        <w:t xml:space="preserve"> </w:t>
      </w:r>
      <w:proofErr w:type="spellStart"/>
      <w:r w:rsidRPr="00555D13">
        <w:rPr>
          <w:rFonts w:ascii="Times New Roman" w:eastAsia="Book Antiqua" w:hAnsi="Times New Roman" w:cs="Times New Roman"/>
          <w:color w:val="000000"/>
          <w:sz w:val="24"/>
          <w:szCs w:val="24"/>
        </w:rPr>
        <w:t>hukum</w:t>
      </w:r>
      <w:proofErr w:type="spellEnd"/>
      <w:r w:rsidRPr="00555D13">
        <w:rPr>
          <w:rFonts w:ascii="Times New Roman" w:eastAsia="Book Antiqua" w:hAnsi="Times New Roman" w:cs="Times New Roman"/>
          <w:color w:val="000000"/>
          <w:sz w:val="24"/>
          <w:szCs w:val="24"/>
        </w:rPr>
        <w:t>.</w:t>
      </w:r>
    </w:p>
    <w:p w14:paraId="1B11315E" w14:textId="77777777" w:rsidR="00F232DA" w:rsidRDefault="00F232DA" w:rsidP="002D06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D9FA4DB" w14:textId="77777777" w:rsidR="00F232DA" w:rsidRDefault="00186B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89DAB7F" w14:textId="77777777" w:rsidR="00F232DA" w:rsidRDefault="00F232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7E4A2D3" w14:textId="64C3D1B0"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F42ABA">
        <w:rPr>
          <w:rFonts w:ascii="Times New Roman" w:hAnsi="Times New Roman" w:cs="Times New Roman"/>
          <w:noProof/>
          <w:sz w:val="24"/>
          <w:szCs w:val="24"/>
        </w:rPr>
        <w:t>[1]</w:t>
      </w:r>
      <w:r w:rsidRPr="00F42ABA">
        <w:rPr>
          <w:rFonts w:ascii="Times New Roman" w:hAnsi="Times New Roman" w:cs="Times New Roman"/>
          <w:noProof/>
          <w:sz w:val="24"/>
          <w:szCs w:val="24"/>
        </w:rPr>
        <w:tab/>
        <w:t xml:space="preserve">M. Anggraini, M. Sachputri, and F. Lubis, “Pernanan Advokat Sebagai Penegak Hukum,” </w:t>
      </w:r>
      <w:r w:rsidRPr="00F42ABA">
        <w:rPr>
          <w:rFonts w:ascii="Times New Roman" w:hAnsi="Times New Roman" w:cs="Times New Roman"/>
          <w:i/>
          <w:iCs/>
          <w:noProof/>
          <w:sz w:val="24"/>
          <w:szCs w:val="24"/>
        </w:rPr>
        <w:t>As-</w:t>
      </w:r>
      <w:r w:rsidRPr="00F42ABA">
        <w:rPr>
          <w:rFonts w:ascii="Times New Roman" w:hAnsi="Times New Roman" w:cs="Times New Roman"/>
          <w:i/>
          <w:iCs/>
          <w:noProof/>
          <w:sz w:val="24"/>
          <w:szCs w:val="24"/>
        </w:rPr>
        <w:lastRenderedPageBreak/>
        <w:t>Syar’i J. Bimbing. Konseling Kel.</w:t>
      </w:r>
      <w:r w:rsidRPr="00F42ABA">
        <w:rPr>
          <w:rFonts w:ascii="Times New Roman" w:hAnsi="Times New Roman" w:cs="Times New Roman"/>
          <w:noProof/>
          <w:sz w:val="24"/>
          <w:szCs w:val="24"/>
        </w:rPr>
        <w:t>, vol. 5, no. 3, pp. 533–544, 2023, doi: 10.47476/assyari.v5i3.2864.</w:t>
      </w:r>
    </w:p>
    <w:p w14:paraId="39472D07"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[2]</w:t>
      </w:r>
      <w:r w:rsidRPr="00F42ABA">
        <w:rPr>
          <w:rFonts w:ascii="Times New Roman" w:hAnsi="Times New Roman" w:cs="Times New Roman"/>
          <w:noProof/>
          <w:sz w:val="24"/>
          <w:szCs w:val="24"/>
        </w:rPr>
        <w:tab/>
        <w:t xml:space="preserve">A. Latipulhayat, “Editorial: Due Process of Law,” </w:t>
      </w:r>
      <w:r w:rsidRPr="00F42ABA">
        <w:rPr>
          <w:rFonts w:ascii="Times New Roman" w:hAnsi="Times New Roman" w:cs="Times New Roman"/>
          <w:i/>
          <w:iCs/>
          <w:noProof/>
          <w:sz w:val="24"/>
          <w:szCs w:val="24"/>
        </w:rPr>
        <w:t>PJIH Padjajaran J. Ilmu Huk.</w:t>
      </w:r>
      <w:r w:rsidRPr="00F42ABA">
        <w:rPr>
          <w:rFonts w:ascii="Times New Roman" w:hAnsi="Times New Roman" w:cs="Times New Roman"/>
          <w:noProof/>
          <w:sz w:val="24"/>
          <w:szCs w:val="24"/>
        </w:rPr>
        <w:t>, vol. 4, no. 2, pp. i–iv, 2017, doi: 10.22304/pjih.v4n1.a0.</w:t>
      </w:r>
    </w:p>
    <w:p w14:paraId="7A973E1B"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[3]</w:t>
      </w:r>
      <w:r w:rsidRPr="00F42ABA">
        <w:rPr>
          <w:rFonts w:ascii="Times New Roman" w:hAnsi="Times New Roman" w:cs="Times New Roman"/>
          <w:noProof/>
          <w:sz w:val="24"/>
          <w:szCs w:val="24"/>
        </w:rPr>
        <w:tab/>
        <w:t xml:space="preserve">H. Y. Mulyana, “Actions That Obstacle The Justice Process (Contempt Of Court) in The Criminal Law System in Indonesia,” </w:t>
      </w:r>
      <w:r w:rsidRPr="00F42ABA">
        <w:rPr>
          <w:rFonts w:ascii="Times New Roman" w:hAnsi="Times New Roman" w:cs="Times New Roman"/>
          <w:i/>
          <w:iCs/>
          <w:noProof/>
          <w:sz w:val="24"/>
          <w:szCs w:val="24"/>
        </w:rPr>
        <w:t>East Asian J. Multidiscip. Res.</w:t>
      </w:r>
      <w:r w:rsidRPr="00F42ABA">
        <w:rPr>
          <w:rFonts w:ascii="Times New Roman" w:hAnsi="Times New Roman" w:cs="Times New Roman"/>
          <w:noProof/>
          <w:sz w:val="24"/>
          <w:szCs w:val="24"/>
        </w:rPr>
        <w:t>, vol. 2, no. 2, pp. 811–822, 2023, doi: 10.55927/eajmr.v2i2.3025.</w:t>
      </w:r>
    </w:p>
    <w:p w14:paraId="1736867A"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[4]</w:t>
      </w:r>
      <w:r w:rsidRPr="00F42ABA">
        <w:rPr>
          <w:rFonts w:ascii="Times New Roman" w:hAnsi="Times New Roman" w:cs="Times New Roman"/>
          <w:noProof/>
          <w:sz w:val="24"/>
          <w:szCs w:val="24"/>
        </w:rPr>
        <w:tab/>
        <w:t xml:space="preserve">S. Rahman, S. J. Akhirno, S. Nawi, and N. Nasrullah, “CONTEMPT OF COURT CRIMINAL IN JUSTICE IMPLEMENTATION IN INDONESIA,” </w:t>
      </w:r>
      <w:r w:rsidRPr="00F42ABA">
        <w:rPr>
          <w:rFonts w:ascii="Times New Roman" w:hAnsi="Times New Roman" w:cs="Times New Roman"/>
          <w:i/>
          <w:iCs/>
          <w:noProof/>
          <w:sz w:val="24"/>
          <w:szCs w:val="24"/>
        </w:rPr>
        <w:t>Russ. Law J.</w:t>
      </w:r>
      <w:r w:rsidRPr="00F42ABA">
        <w:rPr>
          <w:rFonts w:ascii="Times New Roman" w:hAnsi="Times New Roman" w:cs="Times New Roman"/>
          <w:noProof/>
          <w:sz w:val="24"/>
          <w:szCs w:val="24"/>
        </w:rPr>
        <w:t>, vol. XI, no. 5, pp. 1134–1145, 2023.</w:t>
      </w:r>
    </w:p>
    <w:p w14:paraId="21D1A2C1"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[5]</w:t>
      </w:r>
      <w:r w:rsidRPr="00F42ABA">
        <w:rPr>
          <w:rFonts w:ascii="Times New Roman" w:hAnsi="Times New Roman" w:cs="Times New Roman"/>
          <w:noProof/>
          <w:sz w:val="24"/>
          <w:szCs w:val="24"/>
        </w:rPr>
        <w:tab/>
        <w:t xml:space="preserve">S. Nugroho, R. B. Sularto, and B. Wisaksono, “Pengaturan Tindak Pidana Contempt Of Court Berdasarkan Sistem Hukum Pidana Indonesia,” </w:t>
      </w:r>
      <w:r w:rsidRPr="00F42ABA">
        <w:rPr>
          <w:rFonts w:ascii="Times New Roman" w:hAnsi="Times New Roman" w:cs="Times New Roman"/>
          <w:i/>
          <w:iCs/>
          <w:noProof/>
          <w:sz w:val="24"/>
          <w:szCs w:val="24"/>
        </w:rPr>
        <w:t>Diponegoro Law J.</w:t>
      </w:r>
      <w:r w:rsidRPr="00F42ABA">
        <w:rPr>
          <w:rFonts w:ascii="Times New Roman" w:hAnsi="Times New Roman" w:cs="Times New Roman"/>
          <w:noProof/>
          <w:sz w:val="24"/>
          <w:szCs w:val="24"/>
        </w:rPr>
        <w:t>, vol. 6, no. 2, pp. 1–16, 2017, doi: 10.14710/dlj.2017.19543.</w:t>
      </w:r>
    </w:p>
    <w:p w14:paraId="025D94F1"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[6]</w:t>
      </w:r>
      <w:r w:rsidRPr="00F42ABA">
        <w:rPr>
          <w:rFonts w:ascii="Times New Roman" w:hAnsi="Times New Roman" w:cs="Times New Roman"/>
          <w:noProof/>
          <w:sz w:val="24"/>
          <w:szCs w:val="24"/>
        </w:rPr>
        <w:tab/>
        <w:t xml:space="preserve">Y. Sopyan, “Contempt of Court in Indonesia: The Meaning, Root of Problems and Its Alternative Solutions,” </w:t>
      </w:r>
      <w:r w:rsidRPr="00F42ABA">
        <w:rPr>
          <w:rFonts w:ascii="Times New Roman" w:hAnsi="Times New Roman" w:cs="Times New Roman"/>
          <w:i/>
          <w:iCs/>
          <w:noProof/>
          <w:sz w:val="24"/>
          <w:szCs w:val="24"/>
        </w:rPr>
        <w:t>J. Din. Huk.</w:t>
      </w:r>
      <w:r w:rsidRPr="00F42ABA">
        <w:rPr>
          <w:rFonts w:ascii="Times New Roman" w:hAnsi="Times New Roman" w:cs="Times New Roman"/>
          <w:noProof/>
          <w:sz w:val="24"/>
          <w:szCs w:val="24"/>
        </w:rPr>
        <w:t>, vol. 20, no. 1, pp. 82–100, 2020, doi: 10.20884/1.jdh.2020.20.1.2731.</w:t>
      </w:r>
    </w:p>
    <w:p w14:paraId="5B279852"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[7]</w:t>
      </w:r>
      <w:r w:rsidRPr="00F42ABA">
        <w:rPr>
          <w:rFonts w:ascii="Times New Roman" w:hAnsi="Times New Roman" w:cs="Times New Roman"/>
          <w:noProof/>
          <w:sz w:val="24"/>
          <w:szCs w:val="24"/>
        </w:rPr>
        <w:tab/>
        <w:t xml:space="preserve">R. Wahidy, “Al-Mashlahah: Jurnal Hukum Islam dan Pranata Sosial Islam Implementasi Contempt of Court dalam Teori Sistem Hukum Pidana Indonesia,” </w:t>
      </w:r>
      <w:r w:rsidRPr="00F42ABA">
        <w:rPr>
          <w:rFonts w:ascii="Times New Roman" w:hAnsi="Times New Roman" w:cs="Times New Roman"/>
          <w:i/>
          <w:iCs/>
          <w:noProof/>
          <w:sz w:val="24"/>
          <w:szCs w:val="24"/>
        </w:rPr>
        <w:t>Al-Mashlahah J. Huk. Islam dan Pranata Sos. Islam</w:t>
      </w:r>
      <w:r w:rsidRPr="00F42ABA">
        <w:rPr>
          <w:rFonts w:ascii="Times New Roman" w:hAnsi="Times New Roman" w:cs="Times New Roman"/>
          <w:noProof/>
          <w:sz w:val="24"/>
          <w:szCs w:val="24"/>
        </w:rPr>
        <w:t>, vol. 11, no. 1, pp. 107–126, 2023, doi: 10.30868/am.v11i01.4095.</w:t>
      </w:r>
    </w:p>
    <w:p w14:paraId="190B7988"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[8]</w:t>
      </w:r>
      <w:r w:rsidRPr="00F42ABA">
        <w:rPr>
          <w:rFonts w:ascii="Times New Roman" w:hAnsi="Times New Roman" w:cs="Times New Roman"/>
          <w:noProof/>
          <w:sz w:val="24"/>
          <w:szCs w:val="24"/>
        </w:rPr>
        <w:tab/>
        <w:t xml:space="preserve">D. Rolansa, B. R. Siboro, and Baidhowi, “Analisis Problematika Penerapan Etika Profesi Advokat Sebagai Upaya Pengawasan Profesionalisme Advokat Dalam Hal Penegakan Hukum,” </w:t>
      </w:r>
      <w:r w:rsidRPr="00F42ABA">
        <w:rPr>
          <w:rFonts w:ascii="Times New Roman" w:hAnsi="Times New Roman" w:cs="Times New Roman"/>
          <w:i/>
          <w:iCs/>
          <w:noProof/>
          <w:sz w:val="24"/>
          <w:szCs w:val="24"/>
        </w:rPr>
        <w:t>J. Huk. Lex Gen.</w:t>
      </w:r>
      <w:r w:rsidRPr="00F42ABA">
        <w:rPr>
          <w:rFonts w:ascii="Times New Roman" w:hAnsi="Times New Roman" w:cs="Times New Roman"/>
          <w:noProof/>
          <w:sz w:val="24"/>
          <w:szCs w:val="24"/>
        </w:rPr>
        <w:t>, vol. 3, no. 10, pp. 795–805, 2022, doi: 10.56370/jhlg.v3i10.285.</w:t>
      </w:r>
    </w:p>
    <w:p w14:paraId="6842048F"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[9]</w:t>
      </w:r>
      <w:r w:rsidRPr="00F42ABA">
        <w:rPr>
          <w:rFonts w:ascii="Times New Roman" w:hAnsi="Times New Roman" w:cs="Times New Roman"/>
          <w:noProof/>
          <w:sz w:val="24"/>
          <w:szCs w:val="24"/>
        </w:rPr>
        <w:tab/>
        <w:t xml:space="preserve">S. Hanafi, “Problematika Penegakan Hukum Dan Etika Profesi Di Indonesia: Analisis Dengan Pendekatan Nilai-Nilai Ajaran Islam,” </w:t>
      </w:r>
      <w:r w:rsidRPr="00F42ABA">
        <w:rPr>
          <w:rFonts w:ascii="Times New Roman" w:hAnsi="Times New Roman" w:cs="Times New Roman"/>
          <w:i/>
          <w:iCs/>
          <w:noProof/>
          <w:sz w:val="24"/>
          <w:szCs w:val="24"/>
        </w:rPr>
        <w:t>HUNAFA J. Stud. Islam.</w:t>
      </w:r>
      <w:r w:rsidRPr="00F42ABA">
        <w:rPr>
          <w:rFonts w:ascii="Times New Roman" w:hAnsi="Times New Roman" w:cs="Times New Roman"/>
          <w:noProof/>
          <w:sz w:val="24"/>
          <w:szCs w:val="24"/>
        </w:rPr>
        <w:t>, vol. 6, no. 2, pp. 233–246, 2009, doi: 10.24239/jsi.v6i2.136.233-246.</w:t>
      </w:r>
    </w:p>
    <w:p w14:paraId="47B5DDF5"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[10]</w:t>
      </w:r>
      <w:r w:rsidRPr="00F42ABA">
        <w:rPr>
          <w:rFonts w:ascii="Times New Roman" w:hAnsi="Times New Roman" w:cs="Times New Roman"/>
          <w:noProof/>
          <w:sz w:val="24"/>
          <w:szCs w:val="24"/>
        </w:rPr>
        <w:tab/>
        <w:t xml:space="preserve">M. Jasmine, Y. L. Mutiara, M. Muhammad, and H. Haunan, “Implementasi Kode Etik Profesi Advokat Dalam Praktik Sehari-Hari,” </w:t>
      </w:r>
      <w:r w:rsidRPr="00F42ABA">
        <w:rPr>
          <w:rFonts w:ascii="Times New Roman" w:hAnsi="Times New Roman" w:cs="Times New Roman"/>
          <w:i/>
          <w:iCs/>
          <w:noProof/>
          <w:sz w:val="24"/>
          <w:szCs w:val="24"/>
        </w:rPr>
        <w:t>Das Soll. J. Kaji. Kontemporer Huk. Dan Masy.</w:t>
      </w:r>
      <w:r w:rsidRPr="00F42ABA">
        <w:rPr>
          <w:rFonts w:ascii="Times New Roman" w:hAnsi="Times New Roman" w:cs="Times New Roman"/>
          <w:noProof/>
          <w:sz w:val="24"/>
          <w:szCs w:val="24"/>
        </w:rPr>
        <w:t>, vol. 3, no. 1, pp. 1–13, 2025, doi: 10.11111/nusantara.xxxxxxx.</w:t>
      </w:r>
    </w:p>
    <w:p w14:paraId="2710CB15"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[11]</w:t>
      </w:r>
      <w:r w:rsidRPr="00F42ABA">
        <w:rPr>
          <w:rFonts w:ascii="Times New Roman" w:hAnsi="Times New Roman" w:cs="Times New Roman"/>
          <w:noProof/>
          <w:sz w:val="24"/>
          <w:szCs w:val="24"/>
        </w:rPr>
        <w:tab/>
        <w:t xml:space="preserve">A. A. Al Fatih, A. Affandi, and F. Lubis, “Upaya Hukum Advokat yang Terkena Sanksi Pelanggaran Kode Etik,” </w:t>
      </w:r>
      <w:r w:rsidRPr="00F42ABA">
        <w:rPr>
          <w:rFonts w:ascii="Times New Roman" w:hAnsi="Times New Roman" w:cs="Times New Roman"/>
          <w:i/>
          <w:iCs/>
          <w:noProof/>
          <w:sz w:val="24"/>
          <w:szCs w:val="24"/>
        </w:rPr>
        <w:t>J. Pendidik. dan Konseling</w:t>
      </w:r>
      <w:r w:rsidRPr="00F42ABA">
        <w:rPr>
          <w:rFonts w:ascii="Times New Roman" w:hAnsi="Times New Roman" w:cs="Times New Roman"/>
          <w:noProof/>
          <w:sz w:val="24"/>
          <w:szCs w:val="24"/>
        </w:rPr>
        <w:t>, vol. 4, no. 6, pp. 10498–10503, 2022, doi: 10.31004/jpdk.v4i6.10062.</w:t>
      </w:r>
    </w:p>
    <w:p w14:paraId="4A4BBE9E"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[12]</w:t>
      </w:r>
      <w:r w:rsidRPr="00F42ABA">
        <w:rPr>
          <w:rFonts w:ascii="Times New Roman" w:hAnsi="Times New Roman" w:cs="Times New Roman"/>
          <w:noProof/>
          <w:sz w:val="24"/>
          <w:szCs w:val="24"/>
        </w:rPr>
        <w:tab/>
        <w:t xml:space="preserve">B. Ashshofa, </w:t>
      </w:r>
      <w:r w:rsidRPr="00F42ABA">
        <w:rPr>
          <w:rFonts w:ascii="Times New Roman" w:hAnsi="Times New Roman" w:cs="Times New Roman"/>
          <w:i/>
          <w:iCs/>
          <w:noProof/>
          <w:sz w:val="24"/>
          <w:szCs w:val="24"/>
        </w:rPr>
        <w:t>Metode Penelitian Hukum</w:t>
      </w:r>
      <w:r w:rsidRPr="00F42ABA">
        <w:rPr>
          <w:rFonts w:ascii="Times New Roman" w:hAnsi="Times New Roman" w:cs="Times New Roman"/>
          <w:noProof/>
          <w:sz w:val="24"/>
          <w:szCs w:val="24"/>
        </w:rPr>
        <w:t>. Jakarta: Rineka Cipta, 2013.</w:t>
      </w:r>
    </w:p>
    <w:p w14:paraId="56DC9302"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[13]</w:t>
      </w:r>
      <w:r w:rsidRPr="00F42ABA">
        <w:rPr>
          <w:rFonts w:ascii="Times New Roman" w:hAnsi="Times New Roman" w:cs="Times New Roman"/>
          <w:noProof/>
          <w:sz w:val="24"/>
          <w:szCs w:val="24"/>
        </w:rPr>
        <w:tab/>
        <w:t xml:space="preserve">A. dan Z. Asikin, </w:t>
      </w:r>
      <w:r w:rsidRPr="00F42ABA">
        <w:rPr>
          <w:rFonts w:ascii="Times New Roman" w:hAnsi="Times New Roman" w:cs="Times New Roman"/>
          <w:i/>
          <w:iCs/>
          <w:noProof/>
          <w:sz w:val="24"/>
          <w:szCs w:val="24"/>
        </w:rPr>
        <w:t>pengantar Metode Penelitian Hukum</w:t>
      </w:r>
      <w:r w:rsidRPr="00F42ABA">
        <w:rPr>
          <w:rFonts w:ascii="Times New Roman" w:hAnsi="Times New Roman" w:cs="Times New Roman"/>
          <w:noProof/>
          <w:sz w:val="24"/>
          <w:szCs w:val="24"/>
        </w:rPr>
        <w:t>, Cet. X. Jakarta: Rajawali Pers, 2010.</w:t>
      </w:r>
    </w:p>
    <w:p w14:paraId="670084DF"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[14]</w:t>
      </w:r>
      <w:r w:rsidRPr="00F42ABA">
        <w:rPr>
          <w:rFonts w:ascii="Times New Roman" w:hAnsi="Times New Roman" w:cs="Times New Roman"/>
          <w:noProof/>
          <w:sz w:val="24"/>
          <w:szCs w:val="24"/>
        </w:rPr>
        <w:tab/>
        <w:t xml:space="preserve">P. M. Marzuki, </w:t>
      </w:r>
      <w:r w:rsidRPr="00F42ABA">
        <w:rPr>
          <w:rFonts w:ascii="Times New Roman" w:hAnsi="Times New Roman" w:cs="Times New Roman"/>
          <w:i/>
          <w:iCs/>
          <w:noProof/>
          <w:sz w:val="24"/>
          <w:szCs w:val="24"/>
        </w:rPr>
        <w:t>Penelitian Hukum</w:t>
      </w:r>
      <w:r w:rsidRPr="00F42ABA">
        <w:rPr>
          <w:rFonts w:ascii="Times New Roman" w:hAnsi="Times New Roman" w:cs="Times New Roman"/>
          <w:noProof/>
          <w:sz w:val="24"/>
          <w:szCs w:val="24"/>
        </w:rPr>
        <w:t>. Jakarta: Kencana, 2006.</w:t>
      </w:r>
    </w:p>
    <w:p w14:paraId="19F6545A"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[15]</w:t>
      </w:r>
      <w:r w:rsidRPr="00F42ABA">
        <w:rPr>
          <w:rFonts w:ascii="Times New Roman" w:hAnsi="Times New Roman" w:cs="Times New Roman"/>
          <w:noProof/>
          <w:sz w:val="24"/>
          <w:szCs w:val="24"/>
        </w:rPr>
        <w:tab/>
        <w:t xml:space="preserve">J. Hamidi, </w:t>
      </w:r>
      <w:r w:rsidRPr="00F42ABA">
        <w:rPr>
          <w:rFonts w:ascii="Times New Roman" w:hAnsi="Times New Roman" w:cs="Times New Roman"/>
          <w:i/>
          <w:iCs/>
          <w:noProof/>
          <w:sz w:val="24"/>
          <w:szCs w:val="24"/>
        </w:rPr>
        <w:t>Hermeneutika Hukum: Teori Penemuan Hukum Baru Dengan Interpretasi Teks</w:t>
      </w:r>
      <w:r w:rsidRPr="00F42ABA">
        <w:rPr>
          <w:rFonts w:ascii="Times New Roman" w:hAnsi="Times New Roman" w:cs="Times New Roman"/>
          <w:noProof/>
          <w:sz w:val="24"/>
          <w:szCs w:val="24"/>
        </w:rPr>
        <w:t>. Yogyakarta: UII Press, 2005.</w:t>
      </w:r>
    </w:p>
    <w:p w14:paraId="1A0EC568"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[16]</w:t>
      </w:r>
      <w:r w:rsidRPr="00F42ABA">
        <w:rPr>
          <w:rFonts w:ascii="Times New Roman" w:hAnsi="Times New Roman" w:cs="Times New Roman"/>
          <w:noProof/>
          <w:sz w:val="24"/>
          <w:szCs w:val="24"/>
        </w:rPr>
        <w:tab/>
        <w:t xml:space="preserve">Presiden Republik Indonesia, </w:t>
      </w:r>
      <w:r w:rsidRPr="00F42ABA">
        <w:rPr>
          <w:rFonts w:ascii="Times New Roman" w:hAnsi="Times New Roman" w:cs="Times New Roman"/>
          <w:i/>
          <w:iCs/>
          <w:noProof/>
          <w:sz w:val="24"/>
          <w:szCs w:val="24"/>
        </w:rPr>
        <w:t>Undang-Undang Nomor 18 Tahun 2003 Tentang Advokat</w:t>
      </w:r>
      <w:r w:rsidRPr="00F42ABA">
        <w:rPr>
          <w:rFonts w:ascii="Times New Roman" w:hAnsi="Times New Roman" w:cs="Times New Roman"/>
          <w:noProof/>
          <w:sz w:val="24"/>
          <w:szCs w:val="24"/>
        </w:rPr>
        <w:t>. Indonesia, 2003, pp. 1–23. [Online]. Available: https://peraturan.bpk.go.id/Details/43018/uu-no-18-tahun-2003</w:t>
      </w:r>
    </w:p>
    <w:p w14:paraId="43B7EFE9"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[17]</w:t>
      </w:r>
      <w:r w:rsidRPr="00F42ABA">
        <w:rPr>
          <w:rFonts w:ascii="Times New Roman" w:hAnsi="Times New Roman" w:cs="Times New Roman"/>
          <w:noProof/>
          <w:sz w:val="24"/>
          <w:szCs w:val="24"/>
        </w:rPr>
        <w:tab/>
        <w:t xml:space="preserve">Presiden Republik Indonesia, </w:t>
      </w:r>
      <w:r w:rsidRPr="00F42ABA">
        <w:rPr>
          <w:rFonts w:ascii="Times New Roman" w:hAnsi="Times New Roman" w:cs="Times New Roman"/>
          <w:i/>
          <w:iCs/>
          <w:noProof/>
          <w:sz w:val="24"/>
          <w:szCs w:val="24"/>
        </w:rPr>
        <w:t>Undang-Undang Nomor 49 Tahun 2009 Tentang Perubahan Kedua Atas Undang-Undang Nomor 2 Tahun 1986 Tentang Peradilan Umum</w:t>
      </w:r>
      <w:r w:rsidRPr="00F42ABA">
        <w:rPr>
          <w:rFonts w:ascii="Times New Roman" w:hAnsi="Times New Roman" w:cs="Times New Roman"/>
          <w:noProof/>
          <w:sz w:val="24"/>
          <w:szCs w:val="24"/>
        </w:rPr>
        <w:t>. Indonesia, 2009, pp. 1–17. [Online]. Available: https://peraturan.bpk.go.id/Details/38794/uu-no-49-tahun-2009</w:t>
      </w:r>
    </w:p>
    <w:p w14:paraId="027BA247"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[18]</w:t>
      </w:r>
      <w:r w:rsidRPr="00F42ABA">
        <w:rPr>
          <w:rFonts w:ascii="Times New Roman" w:hAnsi="Times New Roman" w:cs="Times New Roman"/>
          <w:noProof/>
          <w:sz w:val="24"/>
          <w:szCs w:val="24"/>
        </w:rPr>
        <w:tab/>
        <w:t xml:space="preserve">A. Nurudin, “Diskresi Yudisial: Antara Keadilan Dan Pencitraan,” </w:t>
      </w:r>
      <w:r w:rsidRPr="00F42ABA">
        <w:rPr>
          <w:rFonts w:ascii="Times New Roman" w:hAnsi="Times New Roman" w:cs="Times New Roman"/>
          <w:i/>
          <w:iCs/>
          <w:noProof/>
          <w:sz w:val="24"/>
          <w:szCs w:val="24"/>
        </w:rPr>
        <w:t>Masal. Huk.</w:t>
      </w:r>
      <w:r w:rsidRPr="00F42ABA">
        <w:rPr>
          <w:rFonts w:ascii="Times New Roman" w:hAnsi="Times New Roman" w:cs="Times New Roman"/>
          <w:noProof/>
          <w:sz w:val="24"/>
          <w:szCs w:val="24"/>
        </w:rPr>
        <w:t>, vol. 45, no. 1, pp. 18–24, 2016, doi: 10.14710/mmh.45.1.2016.18-24.</w:t>
      </w:r>
    </w:p>
    <w:p w14:paraId="5C0D2F18"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[19]</w:t>
      </w:r>
      <w:r w:rsidRPr="00F42ABA">
        <w:rPr>
          <w:rFonts w:ascii="Times New Roman" w:hAnsi="Times New Roman" w:cs="Times New Roman"/>
          <w:noProof/>
          <w:sz w:val="24"/>
          <w:szCs w:val="24"/>
        </w:rPr>
        <w:tab/>
        <w:t xml:space="preserve">Presiden Republik Indonesia, </w:t>
      </w:r>
      <w:r w:rsidRPr="00F42ABA">
        <w:rPr>
          <w:rFonts w:ascii="Times New Roman" w:hAnsi="Times New Roman" w:cs="Times New Roman"/>
          <w:i/>
          <w:iCs/>
          <w:noProof/>
          <w:sz w:val="24"/>
          <w:szCs w:val="24"/>
        </w:rPr>
        <w:t>Undang-Undang Nomor 1 Tahun 2023 Tentang Kitab Undang-Undang Hukum Pidana</w:t>
      </w:r>
      <w:r w:rsidRPr="00F42ABA">
        <w:rPr>
          <w:rFonts w:ascii="Times New Roman" w:hAnsi="Times New Roman" w:cs="Times New Roman"/>
          <w:noProof/>
          <w:sz w:val="24"/>
          <w:szCs w:val="24"/>
        </w:rPr>
        <w:t>. Indonesia, 2023, pp. 1–345. [Online]. Available: https://peraturan.bpk.go.id/Details/234935/uu-no-1-tahun-2023</w:t>
      </w:r>
    </w:p>
    <w:p w14:paraId="00D4997F"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[20]</w:t>
      </w:r>
      <w:r w:rsidRPr="00F42ABA">
        <w:rPr>
          <w:rFonts w:ascii="Times New Roman" w:hAnsi="Times New Roman" w:cs="Times New Roman"/>
          <w:noProof/>
          <w:sz w:val="24"/>
          <w:szCs w:val="24"/>
        </w:rPr>
        <w:tab/>
        <w:t xml:space="preserve">W. Wiwin, S. A. Pradana, and M. I. D. Haq, “The Regulation of Articles on State Institutional Insults to The Right to Freedom of Expression in Indonesia: A Critical Review,” </w:t>
      </w:r>
      <w:r w:rsidRPr="00F42ABA">
        <w:rPr>
          <w:rFonts w:ascii="Times New Roman" w:hAnsi="Times New Roman" w:cs="Times New Roman"/>
          <w:i/>
          <w:iCs/>
          <w:noProof/>
          <w:sz w:val="24"/>
          <w:szCs w:val="24"/>
        </w:rPr>
        <w:t xml:space="preserve">Mulawarman </w:t>
      </w:r>
      <w:r w:rsidRPr="00F42ABA">
        <w:rPr>
          <w:rFonts w:ascii="Times New Roman" w:hAnsi="Times New Roman" w:cs="Times New Roman"/>
          <w:i/>
          <w:iCs/>
          <w:noProof/>
          <w:sz w:val="24"/>
          <w:szCs w:val="24"/>
        </w:rPr>
        <w:lastRenderedPageBreak/>
        <w:t>Law Rev.</w:t>
      </w:r>
      <w:r w:rsidRPr="00F42ABA">
        <w:rPr>
          <w:rFonts w:ascii="Times New Roman" w:hAnsi="Times New Roman" w:cs="Times New Roman"/>
          <w:noProof/>
          <w:sz w:val="24"/>
          <w:szCs w:val="24"/>
        </w:rPr>
        <w:t>, vol. 8, no. 1, pp. 21–31, 2023, doi: 10.30872/mulrev.v8i1.1122.</w:t>
      </w:r>
    </w:p>
    <w:p w14:paraId="77114538"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42ABA">
        <w:rPr>
          <w:rFonts w:ascii="Times New Roman" w:hAnsi="Times New Roman" w:cs="Times New Roman"/>
          <w:noProof/>
          <w:sz w:val="24"/>
          <w:szCs w:val="24"/>
        </w:rPr>
        <w:t>[21]</w:t>
      </w:r>
      <w:r w:rsidRPr="00F42ABA">
        <w:rPr>
          <w:rFonts w:ascii="Times New Roman" w:hAnsi="Times New Roman" w:cs="Times New Roman"/>
          <w:noProof/>
          <w:sz w:val="24"/>
          <w:szCs w:val="24"/>
        </w:rPr>
        <w:tab/>
        <w:t xml:space="preserve">R. L. Scott, “Contempt : The Original Judicial Cheat Code,” </w:t>
      </w:r>
      <w:r w:rsidRPr="00F42ABA">
        <w:rPr>
          <w:rFonts w:ascii="Times New Roman" w:hAnsi="Times New Roman" w:cs="Times New Roman"/>
          <w:i/>
          <w:iCs/>
          <w:noProof/>
          <w:sz w:val="24"/>
          <w:szCs w:val="24"/>
        </w:rPr>
        <w:t>Dickinson Law Rev.</w:t>
      </w:r>
      <w:r w:rsidRPr="00F42ABA">
        <w:rPr>
          <w:rFonts w:ascii="Times New Roman" w:hAnsi="Times New Roman" w:cs="Times New Roman"/>
          <w:noProof/>
          <w:sz w:val="24"/>
          <w:szCs w:val="24"/>
        </w:rPr>
        <w:t>, vol. 129, no. 1, pp. 181–247, 2024, doi: 10.2139/ssrn.5001677.</w:t>
      </w:r>
    </w:p>
    <w:p w14:paraId="6C997C5D" w14:textId="77777777" w:rsidR="00F42ABA" w:rsidRPr="00F42ABA" w:rsidRDefault="00F42ABA" w:rsidP="00F42ABA">
      <w:pPr>
        <w:widowControl w:val="0"/>
        <w:autoSpaceDE w:val="0"/>
        <w:autoSpaceDN w:val="0"/>
        <w:adjustRightInd w:val="0"/>
        <w:spacing w:after="0" w:line="240" w:lineRule="auto"/>
        <w:ind w:left="640" w:hanging="640"/>
        <w:rPr>
          <w:rFonts w:ascii="Times New Roman" w:hAnsi="Times New Roman" w:cs="Times New Roman"/>
          <w:noProof/>
          <w:sz w:val="24"/>
        </w:rPr>
      </w:pPr>
      <w:r w:rsidRPr="00F42ABA">
        <w:rPr>
          <w:rFonts w:ascii="Times New Roman" w:hAnsi="Times New Roman" w:cs="Times New Roman"/>
          <w:noProof/>
          <w:sz w:val="24"/>
          <w:szCs w:val="24"/>
        </w:rPr>
        <w:t>[22]</w:t>
      </w:r>
      <w:r w:rsidRPr="00F42ABA">
        <w:rPr>
          <w:rFonts w:ascii="Times New Roman" w:hAnsi="Times New Roman" w:cs="Times New Roman"/>
          <w:noProof/>
          <w:sz w:val="24"/>
          <w:szCs w:val="24"/>
        </w:rPr>
        <w:tab/>
        <w:t xml:space="preserve">E. J. Katz, “The ‘Judicial Power’ and Contempt of Court: A Historical Analysis of the Contempt Power as Understood by the Founders,” </w:t>
      </w:r>
      <w:r w:rsidRPr="00F42ABA">
        <w:rPr>
          <w:rFonts w:ascii="Times New Roman" w:hAnsi="Times New Roman" w:cs="Times New Roman"/>
          <w:i/>
          <w:iCs/>
          <w:noProof/>
          <w:sz w:val="24"/>
          <w:szCs w:val="24"/>
        </w:rPr>
        <w:t>Calif. Law Rev.</w:t>
      </w:r>
      <w:r w:rsidRPr="00F42ABA">
        <w:rPr>
          <w:rFonts w:ascii="Times New Roman" w:hAnsi="Times New Roman" w:cs="Times New Roman"/>
          <w:noProof/>
          <w:sz w:val="24"/>
          <w:szCs w:val="24"/>
        </w:rPr>
        <w:t>, vol. 109, no. 5, pp. 1913–1958, 2021, doi: 10.15779/Z38HM52K8B.</w:t>
      </w:r>
    </w:p>
    <w:p w14:paraId="13C8F72A" w14:textId="4DE4FCD2" w:rsidR="00F232DA" w:rsidRDefault="00F42A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F232DA">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4775" w14:textId="77777777" w:rsidR="00186B88" w:rsidRDefault="00186B88">
      <w:pPr>
        <w:spacing w:after="0" w:line="240" w:lineRule="auto"/>
      </w:pPr>
      <w:r>
        <w:separator/>
      </w:r>
    </w:p>
  </w:endnote>
  <w:endnote w:type="continuationSeparator" w:id="0">
    <w:p w14:paraId="19CF60DA" w14:textId="77777777" w:rsidR="00186B88" w:rsidRDefault="0018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7E2D" w14:textId="77777777" w:rsidR="00F232DA" w:rsidRDefault="00186B8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B425" w14:textId="51247A23" w:rsidR="00F232DA" w:rsidRDefault="00186B8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64785">
      <w:rPr>
        <w:noProof/>
        <w:color w:val="000000"/>
      </w:rPr>
      <w:t>2</w:t>
    </w:r>
    <w:r>
      <w:rPr>
        <w:color w:val="000000"/>
      </w:rPr>
      <w:fldChar w:fldCharType="end"/>
    </w:r>
    <w:r>
      <w:rPr>
        <w:color w:val="000000"/>
      </w:rPr>
      <w:t xml:space="preserve"> | </w:t>
    </w:r>
    <w:proofErr w:type="spellStart"/>
    <w:r w:rsidR="00F42ABA" w:rsidRPr="00F42ABA">
      <w:rPr>
        <w:rFonts w:ascii="Times New Roman" w:eastAsia="Times New Roman" w:hAnsi="Times New Roman" w:cs="Times New Roman"/>
        <w:b/>
        <w:i/>
        <w:color w:val="000000"/>
      </w:rPr>
      <w:t>Dialektika</w:t>
    </w:r>
    <w:proofErr w:type="spellEnd"/>
    <w:r w:rsidR="00F42ABA" w:rsidRPr="00F42ABA">
      <w:rPr>
        <w:rFonts w:ascii="Times New Roman" w:eastAsia="Times New Roman" w:hAnsi="Times New Roman" w:cs="Times New Roman"/>
        <w:b/>
        <w:i/>
        <w:color w:val="000000"/>
      </w:rPr>
      <w:t xml:space="preserve"> Hukum </w:t>
    </w:r>
    <w:proofErr w:type="spellStart"/>
    <w:r w:rsidR="00F42ABA" w:rsidRPr="00F42ABA">
      <w:rPr>
        <w:rFonts w:ascii="Times New Roman" w:eastAsia="Times New Roman" w:hAnsi="Times New Roman" w:cs="Times New Roman"/>
        <w:b/>
        <w:i/>
        <w:color w:val="000000"/>
      </w:rPr>
      <w:t>dalam</w:t>
    </w:r>
    <w:proofErr w:type="spellEnd"/>
    <w:r w:rsidR="00F42ABA" w:rsidRPr="00F42ABA">
      <w:rPr>
        <w:rFonts w:ascii="Times New Roman" w:eastAsia="Times New Roman" w:hAnsi="Times New Roman" w:cs="Times New Roman"/>
        <w:b/>
        <w:i/>
        <w:color w:val="000000"/>
      </w:rPr>
      <w:t xml:space="preserve"> </w:t>
    </w:r>
    <w:proofErr w:type="spellStart"/>
    <w:r w:rsidR="00F42ABA" w:rsidRPr="00F42ABA">
      <w:rPr>
        <w:rFonts w:ascii="Times New Roman" w:eastAsia="Times New Roman" w:hAnsi="Times New Roman" w:cs="Times New Roman"/>
        <w:b/>
        <w:i/>
        <w:color w:val="000000"/>
      </w:rPr>
      <w:t>Pembekuan</w:t>
    </w:r>
    <w:proofErr w:type="spellEnd"/>
    <w:r w:rsidR="00F42ABA" w:rsidRPr="00F42ABA">
      <w:rPr>
        <w:rFonts w:ascii="Times New Roman" w:eastAsia="Times New Roman" w:hAnsi="Times New Roman" w:cs="Times New Roman"/>
        <w:b/>
        <w:i/>
        <w:color w:val="000000"/>
      </w:rPr>
      <w:t xml:space="preserve"> Berita Acara </w:t>
    </w:r>
    <w:proofErr w:type="spellStart"/>
    <w:r w:rsidR="00F42ABA" w:rsidRPr="00F42ABA">
      <w:rPr>
        <w:rFonts w:ascii="Times New Roman" w:eastAsia="Times New Roman" w:hAnsi="Times New Roman" w:cs="Times New Roman"/>
        <w:b/>
        <w:i/>
        <w:color w:val="000000"/>
      </w:rPr>
      <w:t>Sumpah</w:t>
    </w:r>
    <w:proofErr w:type="spellEnd"/>
    <w:r w:rsidR="00F42ABA" w:rsidRPr="00F42ABA">
      <w:rPr>
        <w:rFonts w:ascii="Times New Roman" w:eastAsia="Times New Roman" w:hAnsi="Times New Roman" w:cs="Times New Roman"/>
        <w:b/>
        <w:i/>
        <w:color w:val="000000"/>
      </w:rPr>
      <w:t xml:space="preserve"> </w:t>
    </w:r>
    <w:proofErr w:type="spellStart"/>
    <w:r w:rsidR="00F42ABA" w:rsidRPr="00F42ABA">
      <w:rPr>
        <w:rFonts w:ascii="Times New Roman" w:eastAsia="Times New Roman" w:hAnsi="Times New Roman" w:cs="Times New Roman"/>
        <w:b/>
        <w:i/>
        <w:color w:val="000000"/>
      </w:rPr>
      <w:t>Advokat</w:t>
    </w:r>
    <w:proofErr w:type="spellEnd"/>
    <w:r w:rsidR="00F42ABA">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w:t>
    </w:r>
    <w:r w:rsidR="00F42ABA">
      <w:rPr>
        <w:rFonts w:ascii="Times New Roman" w:eastAsia="Times New Roman" w:hAnsi="Times New Roman" w:cs="Times New Roman"/>
        <w:i/>
        <w:color w:val="000000"/>
      </w:rPr>
      <w:t>Ludfi</w:t>
    </w:r>
    <w:r>
      <w:rPr>
        <w:rFonts w:ascii="Times New Roman" w:eastAsia="Times New Roman" w:hAnsi="Times New Roman" w:cs="Times New Roman"/>
        <w:i/>
        <w:color w:val="000000"/>
      </w:rPr>
      <w:t>)</w:t>
    </w:r>
  </w:p>
  <w:p w14:paraId="5995B2CD" w14:textId="77777777" w:rsidR="00F232DA" w:rsidRDefault="00F232DA">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4362" w14:textId="77777777" w:rsidR="00F232DA" w:rsidRDefault="00186B8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64785">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4C3DCF5B" w14:textId="77777777" w:rsidR="00F232DA" w:rsidRDefault="00F232DA">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625C" w14:textId="77777777" w:rsidR="00186B88" w:rsidRDefault="00186B88">
      <w:pPr>
        <w:spacing w:after="0" w:line="240" w:lineRule="auto"/>
      </w:pPr>
      <w:r>
        <w:separator/>
      </w:r>
    </w:p>
  </w:footnote>
  <w:footnote w:type="continuationSeparator" w:id="0">
    <w:p w14:paraId="53C1ACD8" w14:textId="77777777" w:rsidR="00186B88" w:rsidRDefault="0018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1178" w14:textId="77777777" w:rsidR="00F232DA" w:rsidRDefault="00186B88">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1CD12CD8" w14:textId="77777777" w:rsidR="00F232DA" w:rsidRDefault="00F232D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6704" w14:textId="77777777" w:rsidR="00F232DA" w:rsidRDefault="00186B8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JIHAD :</w:t>
    </w:r>
    <w:proofErr w:type="gram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Ilmu</w:t>
    </w:r>
    <w:proofErr w:type="spellEnd"/>
    <w:r>
      <w:rPr>
        <w:rFonts w:ascii="Times New Roman" w:eastAsia="Times New Roman" w:hAnsi="Times New Roman" w:cs="Times New Roman"/>
        <w:i/>
        <w:color w:val="000000"/>
      </w:rPr>
      <w:t xml:space="preserve"> Hukum dan </w:t>
    </w:r>
    <w:proofErr w:type="spellStart"/>
    <w:r>
      <w:rPr>
        <w:rFonts w:ascii="Times New Roman" w:eastAsia="Times New Roman" w:hAnsi="Times New Roman" w:cs="Times New Roman"/>
        <w:i/>
        <w:color w:val="000000"/>
      </w:rPr>
      <w:t>Administrasi</w:t>
    </w:r>
    <w:proofErr w:type="spellEnd"/>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1EA5BC6D" w14:textId="77777777" w:rsidR="00F232DA" w:rsidRDefault="00F232D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A735" w14:textId="77777777" w:rsidR="00F232DA" w:rsidRDefault="00186B8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JIHAD: </w:t>
    </w:r>
    <w:proofErr w:type="spellStart"/>
    <w:r>
      <w:rPr>
        <w:rFonts w:ascii="Times New Roman" w:eastAsia="Times New Roman" w:hAnsi="Times New Roman" w:cs="Times New Roman"/>
        <w:b/>
        <w:color w:val="000000"/>
      </w:rPr>
      <w:t>Jurnal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Ilmu</w:t>
    </w:r>
    <w:proofErr w:type="spellEnd"/>
    <w:r>
      <w:rPr>
        <w:rFonts w:ascii="Times New Roman" w:eastAsia="Times New Roman" w:hAnsi="Times New Roman" w:cs="Times New Roman"/>
        <w:b/>
        <w:color w:val="000000"/>
      </w:rPr>
      <w:t xml:space="preserve"> Hukum dan </w:t>
    </w:r>
    <w:proofErr w:type="spellStart"/>
    <w:r>
      <w:rPr>
        <w:rFonts w:ascii="Times New Roman" w:eastAsia="Times New Roman" w:hAnsi="Times New Roman" w:cs="Times New Roman"/>
        <w:b/>
        <w:color w:val="000000"/>
      </w:rPr>
      <w:t>Administrasi</w:t>
    </w:r>
    <w:proofErr w:type="spellEnd"/>
  </w:p>
  <w:p w14:paraId="04446D2E" w14:textId="77777777" w:rsidR="00F232DA" w:rsidRDefault="00186B8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 xml:space="preserve">Bulan  </w:t>
    </w:r>
    <w:proofErr w:type="spellStart"/>
    <w:r>
      <w:rPr>
        <w:rFonts w:ascii="Times New Roman" w:eastAsia="Times New Roman" w:hAnsi="Times New Roman" w:cs="Times New Roman"/>
        <w:color w:val="000000"/>
      </w:rPr>
      <w:t>Tahun</w:t>
    </w:r>
    <w:proofErr w:type="spellEnd"/>
    <w:proofErr w:type="gramEnd"/>
  </w:p>
  <w:p w14:paraId="501D37C8" w14:textId="77777777" w:rsidR="00F232DA" w:rsidRDefault="00186B8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0BF1C4BB" w14:textId="77777777" w:rsidR="00F232DA" w:rsidRDefault="00186B88">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A4DF1"/>
    <w:multiLevelType w:val="multilevel"/>
    <w:tmpl w:val="D124FA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3640E25"/>
    <w:multiLevelType w:val="hybridMultilevel"/>
    <w:tmpl w:val="C7BA9D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DA"/>
    <w:rsid w:val="00186B88"/>
    <w:rsid w:val="00257986"/>
    <w:rsid w:val="00264785"/>
    <w:rsid w:val="002D0621"/>
    <w:rsid w:val="00F232DA"/>
    <w:rsid w:val="00F42AB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911B1"/>
  <w15:docId w15:val="{2C512D74-413C-4EE7-8E7E-DE8D8F1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semiHidden/>
    <w:unhideWhenUsed/>
    <w:rsid w:val="00257986"/>
    <w:rPr>
      <w:vertAlign w:val="superscript"/>
    </w:rPr>
  </w:style>
  <w:style w:type="paragraph" w:styleId="NoSpacing">
    <w:name w:val="No Spacing"/>
    <w:uiPriority w:val="1"/>
    <w:qFormat/>
    <w:rsid w:val="00257986"/>
    <w:pPr>
      <w:spacing w:after="0" w:line="240" w:lineRule="auto"/>
    </w:pPr>
    <w:rPr>
      <w:rFonts w:ascii="Arial" w:eastAsia="Arial" w:hAnsi="Arial" w:cs="Arial"/>
      <w:lang w:eastAsia="en-US"/>
    </w:rPr>
  </w:style>
  <w:style w:type="paragraph" w:styleId="NormalWeb">
    <w:name w:val="Normal (Web)"/>
    <w:basedOn w:val="Normal"/>
    <w:uiPriority w:val="99"/>
    <w:unhideWhenUsed/>
    <w:rsid w:val="002D062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dfidhofir99@stai-almujtama.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ahlimunte01@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837867-C13B-4965-BB44-4DED6A0B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11535</Words>
  <Characters>65756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Ludfi Ludfi</cp:lastModifiedBy>
  <cp:revision>3</cp:revision>
  <dcterms:created xsi:type="dcterms:W3CDTF">2023-06-12T04:17:00Z</dcterms:created>
  <dcterms:modified xsi:type="dcterms:W3CDTF">2025-03-05T17:51:00Z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b8f95270-5188-3b1d-abbe-76441e8bc6e3</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http://csl.mendeley.com/styles/719079651/apa-2</vt:lpwstr>
  </property>
  <property fmtid="{D5CDD505-2E9C-101B-9397-08002B2CF9AE}" pid="10" name="Mendeley Recent Style Name 2_1">
    <vt:lpwstr>American Psychological Association 7th edition - Ludfi Dhofir 2024</vt:lpwstr>
  </property>
  <property fmtid="{D5CDD505-2E9C-101B-9397-08002B2CF9AE}" pid="11" name="Mendeley Recent Style Id 3_1">
    <vt:lpwstr>http://csl.mendeley.com/styles/719079651/apa-4</vt:lpwstr>
  </property>
  <property fmtid="{D5CDD505-2E9C-101B-9397-08002B2CF9AE}" pid="12" name="Mendeley Recent Style Name 3_1">
    <vt:lpwstr>American Psychological Association 7th edition - Ludfi Dhofir 99 - Ludfi Ludfi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http://csl.mendeley.com/styles/719079651/american-sociological-association-2</vt:lpwstr>
  </property>
  <property fmtid="{D5CDD505-2E9C-101B-9397-08002B2CF9AE}" pid="16" name="Mendeley Recent Style Name 5_1">
    <vt:lpwstr>American Sociological Association 6th edition - Ludfi Dhofir 99</vt:lpwstr>
  </property>
  <property fmtid="{D5CDD505-2E9C-101B-9397-08002B2CF9AE}" pid="17" name="Mendeley Recent Style Id 6_1">
    <vt:lpwstr>http://csl.mendeley.com/styles/719079651/american-sociological-association</vt:lpwstr>
  </property>
  <property fmtid="{D5CDD505-2E9C-101B-9397-08002B2CF9AE}" pid="18" name="Mendeley Recent Style Name 6_1">
    <vt:lpwstr>American Sociological Association 6th/7th edition - Ludfi Ludfi</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