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5FEC8" w14:textId="54967DC4" w:rsidR="00072C2E" w:rsidRDefault="005D7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ascii="Times New Roman" w:eastAsia="Times New Roman" w:hAnsi="Times New Roman" w:cs="Times New Roman"/>
          <w:b/>
          <w:bCs/>
          <w:sz w:val="28"/>
          <w:szCs w:val="28"/>
        </w:rPr>
      </w:pPr>
      <w:r w:rsidRPr="005D7F62">
        <w:rPr>
          <w:rFonts w:ascii="Times New Roman" w:hAnsi="Times New Roman" w:cs="Times New Roman"/>
          <w:b/>
          <w:bCs/>
          <w:sz w:val="28"/>
          <w:szCs w:val="28"/>
        </w:rPr>
        <w:t>An Integrative Theoretical Approach to Property Law and Social Literacy for the Protection of Community Property Rights</w:t>
      </w:r>
    </w:p>
    <w:p w14:paraId="4C39B0CB" w14:textId="77777777" w:rsidR="007B49E4" w:rsidRDefault="007B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00"/>
        <w:jc w:val="center"/>
        <w:rPr>
          <w:rFonts w:ascii="Times New Roman" w:eastAsia="Times New Roman" w:hAnsi="Times New Roman" w:cs="Times New Roman"/>
          <w:b/>
          <w:bCs/>
          <w:sz w:val="24"/>
          <w:szCs w:val="24"/>
        </w:rPr>
      </w:pPr>
    </w:p>
    <w:p w14:paraId="180BF582" w14:textId="64592DAA" w:rsidR="00072C2E" w:rsidRDefault="005D7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00"/>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Zaenal</w:t>
      </w:r>
      <w:proofErr w:type="spellEnd"/>
      <w:r>
        <w:rPr>
          <w:rFonts w:ascii="Times New Roman" w:eastAsia="Times New Roman" w:hAnsi="Times New Roman" w:cs="Times New Roman"/>
          <w:b/>
          <w:bCs/>
          <w:sz w:val="24"/>
          <w:szCs w:val="24"/>
        </w:rPr>
        <w:t xml:space="preserve"> Mustofa</w:t>
      </w:r>
      <w:r w:rsidR="00DD7DB7">
        <w:rPr>
          <w:rFonts w:ascii="Times New Roman" w:eastAsia="Times New Roman" w:hAnsi="Times New Roman" w:cs="Times New Roman"/>
          <w:b/>
          <w:bCs/>
          <w:sz w:val="24"/>
          <w:szCs w:val="24"/>
          <w:vertAlign w:val="superscript"/>
        </w:rPr>
        <w:t>1</w:t>
      </w:r>
      <w:r w:rsidR="00DD7DB7">
        <w:rPr>
          <w:rFonts w:ascii="Times New Roman" w:eastAsia="Times New Roman" w:hAnsi="Times New Roman" w:cs="Times New Roman"/>
          <w:b/>
          <w:bCs/>
          <w:sz w:val="24"/>
          <w:szCs w:val="24"/>
        </w:rPr>
        <w:t xml:space="preserve">, </w:t>
      </w:r>
      <w:r w:rsidRPr="005D7F62">
        <w:rPr>
          <w:rFonts w:ascii="Times New Roman" w:hAnsi="Times New Roman" w:cs="Times New Roman"/>
          <w:b/>
          <w:bCs/>
          <w:sz w:val="24"/>
          <w:szCs w:val="24"/>
        </w:rPr>
        <w:t>Aiman Hakim bin Zulkifli</w:t>
      </w:r>
      <w:r w:rsidR="00DD7DB7">
        <w:rPr>
          <w:rFonts w:ascii="Times New Roman" w:eastAsia="Times New Roman" w:hAnsi="Times New Roman" w:cs="Times New Roman"/>
          <w:b/>
          <w:bCs/>
          <w:sz w:val="24"/>
          <w:szCs w:val="24"/>
          <w:vertAlign w:val="superscript"/>
        </w:rPr>
        <w:t>2</w:t>
      </w:r>
    </w:p>
    <w:p w14:paraId="1DD62E35" w14:textId="667123E7" w:rsidR="00072C2E" w:rsidRDefault="00DD7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1</w:t>
      </w:r>
      <w:r w:rsidR="005D7F62">
        <w:rPr>
          <w:rFonts w:ascii="Times New Roman" w:eastAsia="Times New Roman" w:hAnsi="Times New Roman" w:cs="Times New Roman"/>
        </w:rPr>
        <w:t xml:space="preserve">Universitas Duta </w:t>
      </w:r>
      <w:proofErr w:type="spellStart"/>
      <w:r w:rsidR="005D7F62">
        <w:rPr>
          <w:rFonts w:ascii="Times New Roman" w:eastAsia="Times New Roman" w:hAnsi="Times New Roman" w:cs="Times New Roman"/>
        </w:rPr>
        <w:t>Bangsa</w:t>
      </w:r>
      <w:proofErr w:type="spellEnd"/>
      <w:r w:rsidR="005D7F62">
        <w:rPr>
          <w:rFonts w:ascii="Times New Roman" w:eastAsia="Times New Roman" w:hAnsi="Times New Roman" w:cs="Times New Roman"/>
        </w:rPr>
        <w:t xml:space="preserve"> Surakarta, Indonesia</w:t>
      </w:r>
    </w:p>
    <w:p w14:paraId="3CB777A7" w14:textId="082D88F4" w:rsidR="00072C2E" w:rsidRDefault="00DD7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2</w:t>
      </w:r>
      <w:r w:rsidR="005D7F62">
        <w:rPr>
          <w:rFonts w:ascii="Times New Roman" w:eastAsia="Times New Roman" w:hAnsi="Times New Roman" w:cs="Times New Roman"/>
        </w:rPr>
        <w:t xml:space="preserve">Universiti </w:t>
      </w:r>
      <w:proofErr w:type="spellStart"/>
      <w:r w:rsidR="005D7F62">
        <w:rPr>
          <w:rFonts w:ascii="Times New Roman" w:eastAsia="Times New Roman" w:hAnsi="Times New Roman" w:cs="Times New Roman"/>
        </w:rPr>
        <w:t>Teknologi</w:t>
      </w:r>
      <w:proofErr w:type="spellEnd"/>
      <w:r w:rsidR="005D7F62">
        <w:rPr>
          <w:rFonts w:ascii="Times New Roman" w:eastAsia="Times New Roman" w:hAnsi="Times New Roman" w:cs="Times New Roman"/>
        </w:rPr>
        <w:t xml:space="preserve"> Mara, Malaysia</w:t>
      </w:r>
    </w:p>
    <w:p w14:paraId="657617AF" w14:textId="77777777" w:rsidR="00072C2E" w:rsidRDefault="00072C2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p>
    <w:tbl>
      <w:tblPr>
        <w:tblStyle w:val="a"/>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283"/>
        <w:gridCol w:w="6980"/>
      </w:tblGrid>
      <w:tr w:rsidR="00072C2E" w14:paraId="0A0CE9C2" w14:textId="77777777">
        <w:tc>
          <w:tcPr>
            <w:tcW w:w="2802" w:type="dxa"/>
            <w:tcBorders>
              <w:top w:val="single" w:sz="4" w:space="0" w:color="000000"/>
              <w:left w:val="nil"/>
              <w:bottom w:val="single" w:sz="4" w:space="0" w:color="000000"/>
              <w:right w:val="nil"/>
            </w:tcBorders>
          </w:tcPr>
          <w:p w14:paraId="7E77827E" w14:textId="77777777" w:rsidR="00072C2E" w:rsidRDefault="00DD7DB7">
            <w:pPr>
              <w:spacing w:before="12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Article Info</w:t>
            </w:r>
          </w:p>
        </w:tc>
        <w:tc>
          <w:tcPr>
            <w:tcW w:w="283" w:type="dxa"/>
            <w:tcBorders>
              <w:top w:val="single" w:sz="4" w:space="0" w:color="000000"/>
              <w:left w:val="nil"/>
              <w:bottom w:val="nil"/>
              <w:right w:val="nil"/>
            </w:tcBorders>
          </w:tcPr>
          <w:p w14:paraId="49D60785" w14:textId="77777777" w:rsidR="00072C2E" w:rsidRDefault="00072C2E">
            <w:pPr>
              <w:spacing w:before="120"/>
              <w:jc w:val="center"/>
              <w:rPr>
                <w:rFonts w:ascii="Times New Roman" w:eastAsia="Times New Roman" w:hAnsi="Times New Roman" w:cs="Times New Roman"/>
                <w:sz w:val="20"/>
                <w:szCs w:val="20"/>
              </w:rPr>
            </w:pPr>
          </w:p>
        </w:tc>
        <w:tc>
          <w:tcPr>
            <w:tcW w:w="6980" w:type="dxa"/>
            <w:tcBorders>
              <w:top w:val="single" w:sz="4" w:space="0" w:color="000000"/>
              <w:left w:val="nil"/>
              <w:bottom w:val="single" w:sz="4" w:space="0" w:color="000000"/>
              <w:right w:val="nil"/>
            </w:tcBorders>
          </w:tcPr>
          <w:p w14:paraId="32EB5AF3" w14:textId="10232996" w:rsidR="00072C2E" w:rsidRDefault="00DD7DB7">
            <w:pPr>
              <w:spacing w:before="120"/>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Abstract</w:t>
            </w:r>
          </w:p>
        </w:tc>
      </w:tr>
      <w:tr w:rsidR="00072C2E" w14:paraId="2C257BD5" w14:textId="77777777">
        <w:trPr>
          <w:trHeight w:val="1268"/>
        </w:trPr>
        <w:tc>
          <w:tcPr>
            <w:tcW w:w="2802" w:type="dxa"/>
            <w:tcBorders>
              <w:top w:val="single" w:sz="4" w:space="0" w:color="000000"/>
              <w:left w:val="nil"/>
              <w:bottom w:val="single" w:sz="4" w:space="0" w:color="000000"/>
              <w:right w:val="nil"/>
            </w:tcBorders>
          </w:tcPr>
          <w:p w14:paraId="2C7063E9" w14:textId="77777777" w:rsidR="00072C2E" w:rsidRDefault="00DD7DB7">
            <w:pPr>
              <w:spacing w:before="120" w:after="120"/>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Article history:</w:t>
            </w:r>
          </w:p>
          <w:p w14:paraId="6EB5B077" w14:textId="77777777" w:rsidR="00072C2E" w:rsidRDefault="00DD7DB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Received Date, month, Year</w:t>
            </w:r>
          </w:p>
          <w:p w14:paraId="4B3FC8BB" w14:textId="77777777" w:rsidR="00072C2E" w:rsidRDefault="00DD7DB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Publish Date, month, Year</w:t>
            </w:r>
          </w:p>
          <w:p w14:paraId="69047F61" w14:textId="77777777" w:rsidR="00072C2E" w:rsidRDefault="00072C2E">
            <w:pPr>
              <w:jc w:val="both"/>
              <w:rPr>
                <w:rFonts w:ascii="Times New Roman" w:eastAsia="Times New Roman" w:hAnsi="Times New Roman" w:cs="Times New Roman"/>
                <w:sz w:val="20"/>
                <w:szCs w:val="20"/>
              </w:rPr>
            </w:pPr>
          </w:p>
        </w:tc>
        <w:tc>
          <w:tcPr>
            <w:tcW w:w="283" w:type="dxa"/>
            <w:vMerge w:val="restart"/>
            <w:tcBorders>
              <w:top w:val="nil"/>
              <w:left w:val="nil"/>
              <w:bottom w:val="nil"/>
              <w:right w:val="nil"/>
            </w:tcBorders>
          </w:tcPr>
          <w:p w14:paraId="6C979715" w14:textId="77777777" w:rsidR="00072C2E" w:rsidRDefault="00072C2E">
            <w:pPr>
              <w:spacing w:before="120"/>
              <w:jc w:val="both"/>
              <w:rPr>
                <w:rFonts w:ascii="Times New Roman" w:eastAsia="Times New Roman" w:hAnsi="Times New Roman" w:cs="Times New Roman"/>
                <w:sz w:val="20"/>
                <w:szCs w:val="20"/>
              </w:rPr>
            </w:pPr>
          </w:p>
        </w:tc>
        <w:tc>
          <w:tcPr>
            <w:tcW w:w="6980" w:type="dxa"/>
            <w:vMerge w:val="restart"/>
            <w:tcBorders>
              <w:top w:val="single" w:sz="4" w:space="0" w:color="000000"/>
              <w:left w:val="nil"/>
              <w:right w:val="nil"/>
            </w:tcBorders>
          </w:tcPr>
          <w:p w14:paraId="0E8C0195" w14:textId="4005CD88" w:rsidR="005D7F62" w:rsidRDefault="005D7F62" w:rsidP="00630822">
            <w:pPr>
              <w:pStyle w:val="NormalWeb"/>
              <w:spacing w:before="0" w:beforeAutospacing="0" w:after="0" w:afterAutospacing="0"/>
              <w:jc w:val="both"/>
              <w:rPr>
                <w:sz w:val="20"/>
                <w:szCs w:val="20"/>
              </w:rPr>
            </w:pPr>
            <w:r w:rsidRPr="005D7F62">
              <w:rPr>
                <w:sz w:val="20"/>
                <w:szCs w:val="20"/>
              </w:rPr>
              <w:t xml:space="preserve">At present, legal protection of property has not been normatively integrated with public legal literacy, resulting in legal certainty over ownership rights that has not been effective in preventing disputes and violations of property rights at the social level. This study aims to propose the concept of an </w:t>
            </w:r>
            <w:r w:rsidRPr="005D7F62">
              <w:rPr>
                <w:rStyle w:val="Strong"/>
                <w:b w:val="0"/>
                <w:bCs w:val="0"/>
                <w:sz w:val="20"/>
                <w:szCs w:val="20"/>
              </w:rPr>
              <w:t>Integrative Theory of Property Law and Social Literacy for the Protection of Community Property Rights</w:t>
            </w:r>
            <w:r w:rsidRPr="005D7F62">
              <w:rPr>
                <w:sz w:val="20"/>
                <w:szCs w:val="20"/>
              </w:rPr>
              <w:t>. The research employs a conceptual approach through literature review and normative legal analysis to synthesize agrarian law concepts, social literacy, and legal protection theory in order to formulate an integrative model of community property rights protection that is effective both juridically and socially.</w:t>
            </w:r>
            <w:r>
              <w:rPr>
                <w:sz w:val="20"/>
                <w:szCs w:val="20"/>
              </w:rPr>
              <w:t xml:space="preserve"> </w:t>
            </w:r>
            <w:r w:rsidRPr="005D7F62">
              <w:rPr>
                <w:sz w:val="20"/>
                <w:szCs w:val="20"/>
              </w:rPr>
              <w:t>The findings indicate that the protection of property rights within the Indonesian property law system has not yet been fully effective, as it remains heavily reliant on a normative–formal approach that emphasizes administrative legality, while the dimensions of social literacy and the legal culture of society have not been systematically integrated. Through a conceptual reconstruction based on the Basic Agrarian Law (UUPA), this study affirms that property rights are not merely a juridical status guaranteed by the state, but also a social relationship that requires public understanding, awareness, and active participation for legal protection to function in practice. Social literacy is shown to serve as a preventive protective instrument that strengthens certainty and justice of property rights prior to the emergence of disputes, while simultaneously acting as a bridge between legal norms and social practices.</w:t>
            </w:r>
            <w:r>
              <w:rPr>
                <w:sz w:val="20"/>
                <w:szCs w:val="20"/>
              </w:rPr>
              <w:t xml:space="preserve"> </w:t>
            </w:r>
            <w:r w:rsidRPr="005D7F62">
              <w:rPr>
                <w:sz w:val="20"/>
                <w:szCs w:val="20"/>
              </w:rPr>
              <w:t>Therefore, an integrative theoretical model that combines agrarian law, socio-legal literacy, and legal culture offers a more substantive, collaborative, and sustainable framework for the protection of property rights, and provides a theoretical and normative foundation for policy development, legal education, and reform of the property rights protection system in Indonesia.</w:t>
            </w:r>
          </w:p>
        </w:tc>
      </w:tr>
      <w:tr w:rsidR="00072C2E" w14:paraId="262F17BD" w14:textId="77777777">
        <w:trPr>
          <w:trHeight w:val="1482"/>
        </w:trPr>
        <w:tc>
          <w:tcPr>
            <w:tcW w:w="2802" w:type="dxa"/>
            <w:tcBorders>
              <w:top w:val="single" w:sz="4" w:space="0" w:color="000000"/>
              <w:left w:val="nil"/>
              <w:bottom w:val="single" w:sz="4" w:space="0" w:color="000000"/>
              <w:right w:val="nil"/>
            </w:tcBorders>
          </w:tcPr>
          <w:p w14:paraId="350C77E4" w14:textId="77777777" w:rsidR="00072C2E" w:rsidRDefault="00DD7DB7">
            <w:pPr>
              <w:spacing w:before="120" w:after="120"/>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Keywords:</w:t>
            </w:r>
          </w:p>
          <w:p w14:paraId="553BCBC7" w14:textId="77777777" w:rsidR="00630822" w:rsidRDefault="00630822">
            <w:pPr>
              <w:jc w:val="both"/>
              <w:rPr>
                <w:rFonts w:ascii="Times New Roman" w:hAnsi="Times New Roman" w:cs="Times New Roman"/>
                <w:i/>
                <w:iCs/>
                <w:sz w:val="20"/>
                <w:szCs w:val="20"/>
              </w:rPr>
            </w:pPr>
            <w:r w:rsidRPr="00630822">
              <w:rPr>
                <w:rFonts w:ascii="Times New Roman" w:hAnsi="Times New Roman" w:cs="Times New Roman"/>
                <w:i/>
                <w:iCs/>
                <w:sz w:val="20"/>
                <w:szCs w:val="20"/>
              </w:rPr>
              <w:t xml:space="preserve">Integrative Theory; </w:t>
            </w:r>
          </w:p>
          <w:p w14:paraId="56AC34D9" w14:textId="77777777" w:rsidR="00630822" w:rsidRDefault="00630822">
            <w:pPr>
              <w:jc w:val="both"/>
              <w:rPr>
                <w:rFonts w:ascii="Times New Roman" w:hAnsi="Times New Roman" w:cs="Times New Roman"/>
                <w:i/>
                <w:iCs/>
                <w:sz w:val="20"/>
                <w:szCs w:val="20"/>
              </w:rPr>
            </w:pPr>
            <w:r w:rsidRPr="00630822">
              <w:rPr>
                <w:rFonts w:ascii="Times New Roman" w:hAnsi="Times New Roman" w:cs="Times New Roman"/>
                <w:i/>
                <w:iCs/>
                <w:sz w:val="20"/>
                <w:szCs w:val="20"/>
              </w:rPr>
              <w:t xml:space="preserve">Property Law; Social Literacy; </w:t>
            </w:r>
          </w:p>
          <w:p w14:paraId="30DF7B44" w14:textId="720576D1" w:rsidR="00072C2E" w:rsidRPr="00630822" w:rsidRDefault="00630822">
            <w:pPr>
              <w:jc w:val="both"/>
              <w:rPr>
                <w:rFonts w:ascii="Times New Roman" w:eastAsia="Times New Roman" w:hAnsi="Times New Roman" w:cs="Times New Roman"/>
                <w:b/>
                <w:bCs/>
                <w:i/>
                <w:iCs/>
                <w:sz w:val="20"/>
                <w:szCs w:val="20"/>
              </w:rPr>
            </w:pPr>
            <w:r w:rsidRPr="00630822">
              <w:rPr>
                <w:rFonts w:ascii="Times New Roman" w:hAnsi="Times New Roman" w:cs="Times New Roman"/>
                <w:i/>
                <w:iCs/>
                <w:sz w:val="20"/>
                <w:szCs w:val="20"/>
              </w:rPr>
              <w:t>Protection of Community Property Rights.</w:t>
            </w:r>
          </w:p>
        </w:tc>
        <w:tc>
          <w:tcPr>
            <w:tcW w:w="283" w:type="dxa"/>
            <w:vMerge/>
            <w:tcBorders>
              <w:top w:val="nil"/>
              <w:left w:val="nil"/>
              <w:bottom w:val="nil"/>
              <w:right w:val="nil"/>
            </w:tcBorders>
          </w:tcPr>
          <w:p w14:paraId="0888A949" w14:textId="77777777" w:rsidR="00072C2E" w:rsidRDefault="00072C2E">
            <w:pPr>
              <w:widowControl w:val="0"/>
              <w:pBdr>
                <w:top w:val="nil"/>
                <w:left w:val="nil"/>
                <w:bottom w:val="nil"/>
                <w:right w:val="nil"/>
                <w:between w:val="nil"/>
              </w:pBdr>
              <w:spacing w:line="276" w:lineRule="auto"/>
              <w:rPr>
                <w:rFonts w:ascii="Times New Roman" w:eastAsia="Times New Roman" w:hAnsi="Times New Roman" w:cs="Times New Roman"/>
                <w:b/>
                <w:bCs/>
                <w:i/>
                <w:iCs/>
              </w:rPr>
            </w:pPr>
          </w:p>
        </w:tc>
        <w:tc>
          <w:tcPr>
            <w:tcW w:w="6980" w:type="dxa"/>
            <w:vMerge/>
            <w:tcBorders>
              <w:top w:val="single" w:sz="4" w:space="0" w:color="000000"/>
              <w:left w:val="nil"/>
              <w:right w:val="nil"/>
            </w:tcBorders>
          </w:tcPr>
          <w:p w14:paraId="7DD3173A" w14:textId="77777777" w:rsidR="00072C2E" w:rsidRDefault="00072C2E">
            <w:pPr>
              <w:widowControl w:val="0"/>
              <w:pBdr>
                <w:top w:val="nil"/>
                <w:left w:val="nil"/>
                <w:bottom w:val="nil"/>
                <w:right w:val="nil"/>
                <w:between w:val="nil"/>
              </w:pBdr>
              <w:spacing w:line="276" w:lineRule="auto"/>
              <w:rPr>
                <w:rFonts w:ascii="Times New Roman" w:eastAsia="Times New Roman" w:hAnsi="Times New Roman" w:cs="Times New Roman"/>
                <w:b/>
                <w:bCs/>
                <w:i/>
                <w:iCs/>
              </w:rPr>
            </w:pPr>
          </w:p>
        </w:tc>
      </w:tr>
      <w:tr w:rsidR="00072C2E" w14:paraId="6C93F51E" w14:textId="77777777">
        <w:trPr>
          <w:trHeight w:val="70"/>
        </w:trPr>
        <w:tc>
          <w:tcPr>
            <w:tcW w:w="2802" w:type="dxa"/>
            <w:tcBorders>
              <w:top w:val="single" w:sz="4" w:space="0" w:color="000000"/>
              <w:left w:val="nil"/>
              <w:bottom w:val="single" w:sz="4" w:space="0" w:color="000000"/>
              <w:right w:val="nil"/>
            </w:tcBorders>
          </w:tcPr>
          <w:p w14:paraId="77AE7750" w14:textId="77777777" w:rsidR="00072C2E" w:rsidRDefault="00072C2E">
            <w:pPr>
              <w:spacing w:before="120" w:after="120"/>
              <w:jc w:val="both"/>
              <w:rPr>
                <w:rFonts w:ascii="Times New Roman" w:eastAsia="Times New Roman" w:hAnsi="Times New Roman" w:cs="Times New Roman"/>
                <w:b/>
                <w:bCs/>
                <w:i/>
                <w:iCs/>
                <w:sz w:val="20"/>
                <w:szCs w:val="20"/>
              </w:rPr>
            </w:pPr>
          </w:p>
        </w:tc>
        <w:tc>
          <w:tcPr>
            <w:tcW w:w="283" w:type="dxa"/>
            <w:tcBorders>
              <w:top w:val="nil"/>
              <w:left w:val="nil"/>
              <w:bottom w:val="nil"/>
              <w:right w:val="nil"/>
            </w:tcBorders>
          </w:tcPr>
          <w:p w14:paraId="7B24271A" w14:textId="77777777" w:rsidR="00072C2E" w:rsidRDefault="00072C2E">
            <w:pPr>
              <w:spacing w:before="120"/>
              <w:jc w:val="both"/>
              <w:rPr>
                <w:rFonts w:ascii="Times New Roman" w:eastAsia="Times New Roman" w:hAnsi="Times New Roman" w:cs="Times New Roman"/>
                <w:sz w:val="20"/>
                <w:szCs w:val="20"/>
              </w:rPr>
            </w:pPr>
          </w:p>
        </w:tc>
        <w:tc>
          <w:tcPr>
            <w:tcW w:w="6980" w:type="dxa"/>
            <w:tcBorders>
              <w:left w:val="nil"/>
              <w:bottom w:val="single" w:sz="4" w:space="0" w:color="000000"/>
              <w:right w:val="nil"/>
            </w:tcBorders>
          </w:tcPr>
          <w:p w14:paraId="34FD1824" w14:textId="77777777" w:rsidR="00072C2E" w:rsidRDefault="00072C2E">
            <w:pPr>
              <w:spacing w:before="120" w:after="120"/>
              <w:rPr>
                <w:rFonts w:ascii="Times New Roman" w:eastAsia="Times New Roman" w:hAnsi="Times New Roman" w:cs="Times New Roman"/>
                <w:i/>
                <w:iCs/>
                <w:color w:val="000000"/>
                <w:sz w:val="20"/>
                <w:szCs w:val="20"/>
              </w:rPr>
            </w:pPr>
          </w:p>
        </w:tc>
      </w:tr>
      <w:tr w:rsidR="00072C2E" w14:paraId="4ADAF383" w14:textId="77777777">
        <w:trPr>
          <w:trHeight w:val="70"/>
        </w:trPr>
        <w:tc>
          <w:tcPr>
            <w:tcW w:w="2802" w:type="dxa"/>
            <w:tcBorders>
              <w:top w:val="single" w:sz="4" w:space="0" w:color="000000"/>
              <w:left w:val="nil"/>
              <w:bottom w:val="single" w:sz="4" w:space="0" w:color="000000"/>
              <w:right w:val="nil"/>
            </w:tcBorders>
          </w:tcPr>
          <w:p w14:paraId="032F6A27" w14:textId="77777777" w:rsidR="00072C2E" w:rsidRDefault="00072C2E">
            <w:pPr>
              <w:jc w:val="both"/>
              <w:rPr>
                <w:rFonts w:ascii="Times New Roman" w:eastAsia="Times New Roman" w:hAnsi="Times New Roman" w:cs="Times New Roman"/>
                <w:b/>
                <w:bCs/>
                <w:i/>
                <w:iCs/>
                <w:sz w:val="20"/>
                <w:szCs w:val="20"/>
              </w:rPr>
            </w:pPr>
          </w:p>
        </w:tc>
        <w:tc>
          <w:tcPr>
            <w:tcW w:w="283" w:type="dxa"/>
            <w:tcBorders>
              <w:top w:val="nil"/>
              <w:left w:val="nil"/>
              <w:bottom w:val="nil"/>
              <w:right w:val="nil"/>
            </w:tcBorders>
          </w:tcPr>
          <w:p w14:paraId="4D07FD29" w14:textId="77777777" w:rsidR="00072C2E" w:rsidRDefault="00072C2E">
            <w:pPr>
              <w:spacing w:before="120"/>
              <w:jc w:val="both"/>
              <w:rPr>
                <w:rFonts w:ascii="Times New Roman" w:eastAsia="Times New Roman" w:hAnsi="Times New Roman" w:cs="Times New Roman"/>
                <w:sz w:val="20"/>
                <w:szCs w:val="20"/>
              </w:rPr>
            </w:pPr>
          </w:p>
        </w:tc>
        <w:tc>
          <w:tcPr>
            <w:tcW w:w="6980" w:type="dxa"/>
            <w:tcBorders>
              <w:top w:val="nil"/>
              <w:left w:val="nil"/>
              <w:bottom w:val="single" w:sz="4" w:space="0" w:color="000000"/>
              <w:right w:val="nil"/>
            </w:tcBorders>
          </w:tcPr>
          <w:p w14:paraId="4687E111" w14:textId="77777777" w:rsidR="00072C2E" w:rsidRDefault="00DD7DB7">
            <w:pPr>
              <w:spacing w:before="120" w:after="120"/>
              <w:jc w:val="right"/>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This is an open access article under the </w:t>
            </w:r>
            <w:hyperlink r:id="rId8">
              <w:proofErr w:type="spellStart"/>
              <w:r>
                <w:rPr>
                  <w:rFonts w:ascii="Times New Roman" w:eastAsia="Times New Roman" w:hAnsi="Times New Roman" w:cs="Times New Roman"/>
                  <w:i/>
                  <w:iCs/>
                  <w:color w:val="0000FF"/>
                  <w:sz w:val="20"/>
                  <w:szCs w:val="20"/>
                  <w:u w:val="single"/>
                </w:rPr>
                <w:t>Lisensi</w:t>
              </w:r>
              <w:proofErr w:type="spellEnd"/>
              <w:r>
                <w:rPr>
                  <w:rFonts w:ascii="Times New Roman" w:eastAsia="Times New Roman" w:hAnsi="Times New Roman" w:cs="Times New Roman"/>
                  <w:i/>
                  <w:iCs/>
                  <w:color w:val="0000FF"/>
                  <w:sz w:val="20"/>
                  <w:szCs w:val="20"/>
                  <w:u w:val="single"/>
                </w:rPr>
                <w:t xml:space="preserve"> Creative Commons </w:t>
              </w:r>
              <w:proofErr w:type="spellStart"/>
              <w:r>
                <w:rPr>
                  <w:rFonts w:ascii="Times New Roman" w:eastAsia="Times New Roman" w:hAnsi="Times New Roman" w:cs="Times New Roman"/>
                  <w:i/>
                  <w:iCs/>
                  <w:color w:val="0000FF"/>
                  <w:sz w:val="20"/>
                  <w:szCs w:val="20"/>
                  <w:u w:val="single"/>
                </w:rPr>
                <w:t>Atribusi-BerbagiSerupa</w:t>
              </w:r>
              <w:proofErr w:type="spellEnd"/>
              <w:r>
                <w:rPr>
                  <w:rFonts w:ascii="Times New Roman" w:eastAsia="Times New Roman" w:hAnsi="Times New Roman" w:cs="Times New Roman"/>
                  <w:i/>
                  <w:iCs/>
                  <w:color w:val="0000FF"/>
                  <w:sz w:val="20"/>
                  <w:szCs w:val="20"/>
                  <w:u w:val="single"/>
                </w:rPr>
                <w:t xml:space="preserve"> 4.0 </w:t>
              </w:r>
              <w:proofErr w:type="spellStart"/>
              <w:r>
                <w:rPr>
                  <w:rFonts w:ascii="Times New Roman" w:eastAsia="Times New Roman" w:hAnsi="Times New Roman" w:cs="Times New Roman"/>
                  <w:i/>
                  <w:iCs/>
                  <w:color w:val="0000FF"/>
                  <w:sz w:val="20"/>
                  <w:szCs w:val="20"/>
                  <w:u w:val="single"/>
                </w:rPr>
                <w:t>Internasional</w:t>
              </w:r>
              <w:proofErr w:type="spellEnd"/>
            </w:hyperlink>
          </w:p>
          <w:p w14:paraId="65D22B7B" w14:textId="77777777" w:rsidR="00072C2E" w:rsidRDefault="00DD7DB7">
            <w:pPr>
              <w:jc w:val="right"/>
              <w:rPr>
                <w:rFonts w:ascii="Times New Roman" w:eastAsia="Times New Roman" w:hAnsi="Times New Roman" w:cs="Times New Roman"/>
                <w:i/>
                <w:iCs/>
                <w:color w:val="000000"/>
                <w:sz w:val="20"/>
                <w:szCs w:val="20"/>
              </w:rPr>
            </w:pPr>
            <w:r>
              <w:rPr>
                <w:rFonts w:ascii="Times New Roman" w:eastAsia="Times New Roman" w:hAnsi="Times New Roman" w:cs="Times New Roman"/>
                <w:noProof/>
                <w:sz w:val="20"/>
                <w:szCs w:val="20"/>
              </w:rPr>
              <w:drawing>
                <wp:inline distT="0" distB="0" distL="0" distR="0" wp14:anchorId="24EDCB17" wp14:editId="5194EF18">
                  <wp:extent cx="838200" cy="297180"/>
                  <wp:effectExtent l="0" t="0" r="0" b="0"/>
                  <wp:docPr id="11" name="image2.png" descr="Lisensi Creative Commons"/>
                  <wp:cNvGraphicFramePr/>
                  <a:graphic xmlns:a="http://schemas.openxmlformats.org/drawingml/2006/main">
                    <a:graphicData uri="http://schemas.openxmlformats.org/drawingml/2006/picture">
                      <pic:pic xmlns:pic="http://schemas.openxmlformats.org/drawingml/2006/picture">
                        <pic:nvPicPr>
                          <pic:cNvPr id="0" name="image2.png" descr="Lisensi Creative Commons"/>
                          <pic:cNvPicPr preferRelativeResize="0"/>
                        </pic:nvPicPr>
                        <pic:blipFill>
                          <a:blip r:embed="rId9"/>
                          <a:srcRect/>
                          <a:stretch>
                            <a:fillRect/>
                          </a:stretch>
                        </pic:blipFill>
                        <pic:spPr>
                          <a:xfrm>
                            <a:off x="0" y="0"/>
                            <a:ext cx="838200" cy="297180"/>
                          </a:xfrm>
                          <a:prstGeom prst="rect">
                            <a:avLst/>
                          </a:prstGeom>
                          <a:ln/>
                        </pic:spPr>
                      </pic:pic>
                    </a:graphicData>
                  </a:graphic>
                </wp:inline>
              </w:drawing>
            </w:r>
          </w:p>
        </w:tc>
      </w:tr>
      <w:tr w:rsidR="00072C2E" w14:paraId="54E97CEA" w14:textId="77777777">
        <w:tc>
          <w:tcPr>
            <w:tcW w:w="10065" w:type="dxa"/>
            <w:gridSpan w:val="3"/>
            <w:tcBorders>
              <w:top w:val="nil"/>
              <w:left w:val="nil"/>
              <w:bottom w:val="single" w:sz="4" w:space="0" w:color="000000"/>
              <w:right w:val="nil"/>
            </w:tcBorders>
          </w:tcPr>
          <w:p w14:paraId="43F4BBDF" w14:textId="77777777" w:rsidR="00630822" w:rsidRDefault="00DD7DB7" w:rsidP="00630822">
            <w:pPr>
              <w:spacing w:before="120" w:after="120"/>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Corresponding Author:</w:t>
            </w:r>
          </w:p>
          <w:p w14:paraId="56C07677" w14:textId="77777777" w:rsidR="00630822" w:rsidRDefault="00630822" w:rsidP="00630822">
            <w:pPr>
              <w:spacing w:before="120"/>
              <w:rPr>
                <w:rFonts w:ascii="Times New Roman" w:eastAsia="Times New Roman" w:hAnsi="Times New Roman" w:cs="Times New Roman"/>
                <w:b/>
                <w:bCs/>
                <w:i/>
                <w:iCs/>
                <w:sz w:val="20"/>
                <w:szCs w:val="20"/>
              </w:rPr>
            </w:pPr>
            <w:proofErr w:type="spellStart"/>
            <w:r>
              <w:rPr>
                <w:rFonts w:ascii="Times New Roman" w:eastAsia="Times New Roman" w:hAnsi="Times New Roman" w:cs="Times New Roman"/>
                <w:b/>
                <w:bCs/>
                <w:sz w:val="20"/>
                <w:szCs w:val="20"/>
              </w:rPr>
              <w:t>Zaenal</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Mustofa</w:t>
            </w:r>
            <w:proofErr w:type="spellEnd"/>
          </w:p>
          <w:p w14:paraId="3878D823" w14:textId="5732E678" w:rsidR="00072C2E" w:rsidRPr="00630822" w:rsidRDefault="00630822" w:rsidP="00630822">
            <w:pPr>
              <w:spacing w:before="120"/>
              <w:rPr>
                <w:rFonts w:ascii="Times New Roman" w:eastAsia="Times New Roman" w:hAnsi="Times New Roman" w:cs="Times New Roman"/>
                <w:b/>
                <w:bCs/>
                <w:i/>
                <w:iCs/>
                <w:sz w:val="20"/>
                <w:szCs w:val="20"/>
              </w:rPr>
            </w:pPr>
            <w:r>
              <w:rPr>
                <w:rFonts w:ascii="Times New Roman" w:eastAsia="Times New Roman" w:hAnsi="Times New Roman" w:cs="Times New Roman"/>
                <w:sz w:val="20"/>
                <w:szCs w:val="20"/>
              </w:rPr>
              <w:t xml:space="preserve">Universitas Duta </w:t>
            </w:r>
            <w:proofErr w:type="spellStart"/>
            <w:r>
              <w:rPr>
                <w:rFonts w:ascii="Times New Roman" w:eastAsia="Times New Roman" w:hAnsi="Times New Roman" w:cs="Times New Roman"/>
                <w:sz w:val="20"/>
                <w:szCs w:val="20"/>
              </w:rPr>
              <w:t>Bangsa</w:t>
            </w:r>
            <w:proofErr w:type="spellEnd"/>
            <w:r>
              <w:rPr>
                <w:rFonts w:ascii="Times New Roman" w:eastAsia="Times New Roman" w:hAnsi="Times New Roman" w:cs="Times New Roman"/>
                <w:sz w:val="20"/>
                <w:szCs w:val="20"/>
              </w:rPr>
              <w:t xml:space="preserve"> Surakarta, Indonesia</w:t>
            </w:r>
          </w:p>
          <w:p w14:paraId="0F08852B" w14:textId="3BEBCDEB" w:rsidR="00072C2E" w:rsidRDefault="00DD7DB7" w:rsidP="00630822">
            <w:pP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Email </w:t>
            </w:r>
            <w:proofErr w:type="spellStart"/>
            <w:r>
              <w:rPr>
                <w:rFonts w:ascii="Times New Roman" w:eastAsia="Times New Roman" w:hAnsi="Times New Roman" w:cs="Times New Roman"/>
                <w:sz w:val="20"/>
                <w:szCs w:val="20"/>
              </w:rPr>
              <w:t>Coresspondent</w:t>
            </w:r>
            <w:proofErr w:type="spellEnd"/>
            <w:r>
              <w:rPr>
                <w:rFonts w:ascii="Times New Roman" w:eastAsia="Times New Roman" w:hAnsi="Times New Roman" w:cs="Times New Roman"/>
                <w:sz w:val="20"/>
                <w:szCs w:val="20"/>
              </w:rPr>
              <w:t xml:space="preserve">: </w:t>
            </w:r>
            <w:r w:rsidR="00630822">
              <w:rPr>
                <w:rFonts w:ascii="Times New Roman" w:eastAsia="Times New Roman" w:hAnsi="Times New Roman" w:cs="Times New Roman"/>
                <w:color w:val="1155CC"/>
                <w:sz w:val="20"/>
                <w:szCs w:val="20"/>
                <w:u w:val="single"/>
              </w:rPr>
              <w:t>zaenal_mustofa@udb.ac.id</w:t>
            </w:r>
          </w:p>
        </w:tc>
      </w:tr>
    </w:tbl>
    <w:p w14:paraId="1C6A02FD" w14:textId="77777777" w:rsidR="00072C2E" w:rsidRDefault="00072C2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p>
    <w:p w14:paraId="2A015F8E" w14:textId="4E828430" w:rsidR="00072C2E" w:rsidRDefault="00DD7DB7">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3" w:hanging="28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2C342A36" w14:textId="77777777" w:rsidR="00630822" w:rsidRDefault="00630822" w:rsidP="00630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hAnsi="Times New Roman" w:cs="Times New Roman"/>
          <w:sz w:val="24"/>
          <w:szCs w:val="24"/>
        </w:rPr>
      </w:pPr>
      <w:r w:rsidRPr="00630822">
        <w:rPr>
          <w:rFonts w:ascii="Times New Roman" w:hAnsi="Times New Roman" w:cs="Times New Roman"/>
          <w:sz w:val="24"/>
          <w:szCs w:val="24"/>
        </w:rPr>
        <w:t>Property law constitutes a fundamental foundation for safeguarding community ownership rights, as legal certainty over ownership serves as a prerequisite for security and justice in social and economic interactions (</w:t>
      </w:r>
      <w:proofErr w:type="spellStart"/>
      <w:r w:rsidRPr="00630822">
        <w:rPr>
          <w:rFonts w:ascii="Times New Roman" w:hAnsi="Times New Roman" w:cs="Times New Roman"/>
          <w:sz w:val="24"/>
          <w:szCs w:val="24"/>
        </w:rPr>
        <w:t>Firmanto</w:t>
      </w:r>
      <w:proofErr w:type="spellEnd"/>
      <w:r w:rsidRPr="00630822">
        <w:rPr>
          <w:rFonts w:ascii="Times New Roman" w:hAnsi="Times New Roman" w:cs="Times New Roman"/>
          <w:sz w:val="24"/>
          <w:szCs w:val="24"/>
        </w:rPr>
        <w:t xml:space="preserve"> &amp; </w:t>
      </w:r>
      <w:proofErr w:type="spellStart"/>
      <w:r w:rsidRPr="00630822">
        <w:rPr>
          <w:rFonts w:ascii="Times New Roman" w:hAnsi="Times New Roman" w:cs="Times New Roman"/>
          <w:sz w:val="24"/>
          <w:szCs w:val="24"/>
        </w:rPr>
        <w:t>Sutrisno</w:t>
      </w:r>
      <w:proofErr w:type="spellEnd"/>
      <w:r w:rsidRPr="00630822">
        <w:rPr>
          <w:rFonts w:ascii="Times New Roman" w:hAnsi="Times New Roman" w:cs="Times New Roman"/>
          <w:sz w:val="24"/>
          <w:szCs w:val="24"/>
        </w:rPr>
        <w:t xml:space="preserve">, 2026). Clear and protected procedural ownership does not merely encompass formal legal aspects such as land registration and certification, but also requires </w:t>
      </w:r>
      <w:r w:rsidRPr="00630822">
        <w:rPr>
          <w:rFonts w:ascii="Times New Roman" w:hAnsi="Times New Roman" w:cs="Times New Roman"/>
          <w:sz w:val="24"/>
          <w:szCs w:val="24"/>
        </w:rPr>
        <w:lastRenderedPageBreak/>
        <w:t xml:space="preserve">public legal awareness so that these rights are respected and effectively enforced (Fikri, </w:t>
      </w:r>
      <w:proofErr w:type="spellStart"/>
      <w:r w:rsidRPr="00630822">
        <w:rPr>
          <w:rFonts w:ascii="Times New Roman" w:hAnsi="Times New Roman" w:cs="Times New Roman"/>
          <w:sz w:val="24"/>
          <w:szCs w:val="24"/>
        </w:rPr>
        <w:t>Sutikno</w:t>
      </w:r>
      <w:proofErr w:type="spellEnd"/>
      <w:r w:rsidRPr="00630822">
        <w:rPr>
          <w:rFonts w:ascii="Times New Roman" w:hAnsi="Times New Roman" w:cs="Times New Roman"/>
          <w:sz w:val="24"/>
          <w:szCs w:val="24"/>
        </w:rPr>
        <w:t xml:space="preserve">, &amp; Azis, 2023). In practice, numerous problems related to property ownership persist, including land disputes between individuals or communities and overlapping land rights, most of which stem from weak public understanding of ownership rights and applicable legal procedures (Dewi &amp; </w:t>
      </w:r>
      <w:proofErr w:type="spellStart"/>
      <w:r w:rsidRPr="00630822">
        <w:rPr>
          <w:rFonts w:ascii="Times New Roman" w:hAnsi="Times New Roman" w:cs="Times New Roman"/>
          <w:sz w:val="24"/>
          <w:szCs w:val="24"/>
        </w:rPr>
        <w:t>Nurwanti</w:t>
      </w:r>
      <w:proofErr w:type="spellEnd"/>
      <w:r w:rsidRPr="00630822">
        <w:rPr>
          <w:rFonts w:ascii="Times New Roman" w:hAnsi="Times New Roman" w:cs="Times New Roman"/>
          <w:sz w:val="24"/>
          <w:szCs w:val="24"/>
        </w:rPr>
        <w:t>, 2024).</w:t>
      </w:r>
    </w:p>
    <w:p w14:paraId="156E6190" w14:textId="77777777" w:rsidR="00630822" w:rsidRPr="00630822" w:rsidRDefault="00630822" w:rsidP="00630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hAnsi="Times New Roman" w:cs="Times New Roman"/>
          <w:sz w:val="24"/>
          <w:szCs w:val="24"/>
        </w:rPr>
      </w:pPr>
      <w:r w:rsidRPr="00630822">
        <w:rPr>
          <w:rFonts w:ascii="Times New Roman" w:hAnsi="Times New Roman" w:cs="Times New Roman"/>
          <w:sz w:val="24"/>
          <w:szCs w:val="24"/>
        </w:rPr>
        <w:t xml:space="preserve">This phenomenon demonstrates that formal legal protection alone is often insufficient to prevent violations of ownership rights, as certainty derived from registration or legal documentation does not automatically generate social awareness of such rights (Nasrudin, </w:t>
      </w:r>
      <w:proofErr w:type="spellStart"/>
      <w:r w:rsidRPr="00630822">
        <w:rPr>
          <w:rFonts w:ascii="Times New Roman" w:hAnsi="Times New Roman" w:cs="Times New Roman"/>
          <w:sz w:val="24"/>
          <w:szCs w:val="24"/>
        </w:rPr>
        <w:t>Washliati</w:t>
      </w:r>
      <w:proofErr w:type="spellEnd"/>
      <w:r w:rsidRPr="00630822">
        <w:rPr>
          <w:rFonts w:ascii="Times New Roman" w:hAnsi="Times New Roman" w:cs="Times New Roman"/>
          <w:sz w:val="24"/>
          <w:szCs w:val="24"/>
        </w:rPr>
        <w:t>, &amp; Fadlan, 2024). Moreover, although Law Number 5 of 1960 on Basic Agrarian Principles (UUPA) and its implementing regulations provide a legal framework for land ownership, implementation in practice continues to face various obstacles due to low levels of legal literacy among the public (Tiodora Siahaan &amp; Saleh, 2022). One of the main issues lies in the weakness of public legal literacy regarding rights and obligations in the context of property ownership, which contributes to disputes that could otherwise be prevented through adequate procedural understanding (</w:t>
      </w:r>
      <w:proofErr w:type="spellStart"/>
      <w:r w:rsidRPr="00630822">
        <w:rPr>
          <w:rFonts w:ascii="Times New Roman" w:hAnsi="Times New Roman" w:cs="Times New Roman"/>
          <w:sz w:val="24"/>
          <w:szCs w:val="24"/>
        </w:rPr>
        <w:t>Ratnita</w:t>
      </w:r>
      <w:proofErr w:type="spellEnd"/>
      <w:r w:rsidRPr="00630822">
        <w:rPr>
          <w:rFonts w:ascii="Times New Roman" w:hAnsi="Times New Roman" w:cs="Times New Roman"/>
          <w:sz w:val="24"/>
          <w:szCs w:val="24"/>
        </w:rPr>
        <w:t>, 2025).</w:t>
      </w:r>
    </w:p>
    <w:p w14:paraId="2943A496" w14:textId="77777777" w:rsidR="00630822" w:rsidRPr="00630822" w:rsidRDefault="00630822" w:rsidP="00630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hAnsi="Times New Roman" w:cs="Times New Roman"/>
          <w:sz w:val="24"/>
          <w:szCs w:val="24"/>
        </w:rPr>
      </w:pPr>
      <w:r w:rsidRPr="00630822">
        <w:rPr>
          <w:rFonts w:ascii="Times New Roman" w:hAnsi="Times New Roman" w:cs="Times New Roman"/>
          <w:sz w:val="24"/>
          <w:szCs w:val="24"/>
        </w:rPr>
        <w:t>These problems are further exacerbated by limited dissemination of legal regulations by the government and related institutions, resulting in communities often being unaware of their ownership rights or the legal steps required to protect their property (</w:t>
      </w:r>
      <w:proofErr w:type="spellStart"/>
      <w:r w:rsidRPr="00630822">
        <w:rPr>
          <w:rFonts w:ascii="Times New Roman" w:hAnsi="Times New Roman" w:cs="Times New Roman"/>
          <w:sz w:val="24"/>
          <w:szCs w:val="24"/>
        </w:rPr>
        <w:t>Nadeak</w:t>
      </w:r>
      <w:proofErr w:type="spellEnd"/>
      <w:r w:rsidRPr="00630822">
        <w:rPr>
          <w:rFonts w:ascii="Times New Roman" w:hAnsi="Times New Roman" w:cs="Times New Roman"/>
          <w:sz w:val="24"/>
          <w:szCs w:val="24"/>
        </w:rPr>
        <w:t xml:space="preserve">, </w:t>
      </w:r>
      <w:proofErr w:type="spellStart"/>
      <w:r w:rsidRPr="00630822">
        <w:rPr>
          <w:rFonts w:ascii="Times New Roman" w:hAnsi="Times New Roman" w:cs="Times New Roman"/>
          <w:sz w:val="24"/>
          <w:szCs w:val="24"/>
        </w:rPr>
        <w:t>Rambe</w:t>
      </w:r>
      <w:proofErr w:type="spellEnd"/>
      <w:r w:rsidRPr="00630822">
        <w:rPr>
          <w:rFonts w:ascii="Times New Roman" w:hAnsi="Times New Roman" w:cs="Times New Roman"/>
          <w:sz w:val="24"/>
          <w:szCs w:val="24"/>
        </w:rPr>
        <w:t xml:space="preserve">, </w:t>
      </w:r>
      <w:proofErr w:type="spellStart"/>
      <w:r w:rsidRPr="00630822">
        <w:rPr>
          <w:rFonts w:ascii="Times New Roman" w:hAnsi="Times New Roman" w:cs="Times New Roman"/>
          <w:sz w:val="24"/>
          <w:szCs w:val="24"/>
        </w:rPr>
        <w:t>Joharsah</w:t>
      </w:r>
      <w:proofErr w:type="spellEnd"/>
      <w:r w:rsidRPr="00630822">
        <w:rPr>
          <w:rFonts w:ascii="Times New Roman" w:hAnsi="Times New Roman" w:cs="Times New Roman"/>
          <w:sz w:val="24"/>
          <w:szCs w:val="24"/>
        </w:rPr>
        <w:t xml:space="preserve">, &amp; Ananda </w:t>
      </w:r>
      <w:proofErr w:type="spellStart"/>
      <w:r w:rsidRPr="00630822">
        <w:rPr>
          <w:rFonts w:ascii="Times New Roman" w:hAnsi="Times New Roman" w:cs="Times New Roman"/>
          <w:sz w:val="24"/>
          <w:szCs w:val="24"/>
        </w:rPr>
        <w:t>Nst</w:t>
      </w:r>
      <w:proofErr w:type="spellEnd"/>
      <w:r w:rsidRPr="00630822">
        <w:rPr>
          <w:rFonts w:ascii="Times New Roman" w:hAnsi="Times New Roman" w:cs="Times New Roman"/>
          <w:sz w:val="24"/>
          <w:szCs w:val="24"/>
        </w:rPr>
        <w:t>, 2024). From a social perspective, property law protection cannot be viewed solely as the authority of law enforcement agencies, but must also involve collective social awareness in respecting others’ property rights and complying with applicable legal norms (</w:t>
      </w:r>
      <w:proofErr w:type="spellStart"/>
      <w:r w:rsidRPr="00630822">
        <w:rPr>
          <w:rFonts w:ascii="Times New Roman" w:hAnsi="Times New Roman" w:cs="Times New Roman"/>
          <w:sz w:val="24"/>
          <w:szCs w:val="24"/>
        </w:rPr>
        <w:t>Nuryasinta</w:t>
      </w:r>
      <w:proofErr w:type="spellEnd"/>
      <w:r w:rsidRPr="00630822">
        <w:rPr>
          <w:rFonts w:ascii="Times New Roman" w:hAnsi="Times New Roman" w:cs="Times New Roman"/>
          <w:sz w:val="24"/>
          <w:szCs w:val="24"/>
        </w:rPr>
        <w:t xml:space="preserve"> &amp; Wardoyo, 2024). Legal literacy thus becomes a key factor in fostering proactive public attitudes toward safeguarding ownership rights, as without sufficient legal understanding, existing regulations tend to remain merely normative and difficult to implement effectively in practice (</w:t>
      </w:r>
      <w:proofErr w:type="spellStart"/>
      <w:r w:rsidRPr="00630822">
        <w:rPr>
          <w:rFonts w:ascii="Times New Roman" w:hAnsi="Times New Roman" w:cs="Times New Roman"/>
          <w:sz w:val="24"/>
          <w:szCs w:val="24"/>
        </w:rPr>
        <w:t>Suhadi</w:t>
      </w:r>
      <w:proofErr w:type="spellEnd"/>
      <w:r w:rsidRPr="00630822">
        <w:rPr>
          <w:rFonts w:ascii="Times New Roman" w:hAnsi="Times New Roman" w:cs="Times New Roman"/>
          <w:sz w:val="24"/>
          <w:szCs w:val="24"/>
        </w:rPr>
        <w:t xml:space="preserve"> et al., 2024).</w:t>
      </w:r>
    </w:p>
    <w:p w14:paraId="2F19FB06" w14:textId="77777777" w:rsidR="00630822" w:rsidRPr="00630822" w:rsidRDefault="00630822" w:rsidP="00630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hAnsi="Times New Roman" w:cs="Times New Roman"/>
          <w:sz w:val="24"/>
          <w:szCs w:val="24"/>
        </w:rPr>
      </w:pPr>
      <w:r w:rsidRPr="00630822">
        <w:rPr>
          <w:rFonts w:ascii="Times New Roman" w:hAnsi="Times New Roman" w:cs="Times New Roman"/>
          <w:sz w:val="24"/>
          <w:szCs w:val="24"/>
        </w:rPr>
        <w:t xml:space="preserve">Several studies indicate that improving legal literacy can strengthen property law protection by reducing conflicts, increasing compliance with legal procedures, and encouraging public participation in agrarian legal processes (Mohamad &amp; Djaja, 2025; </w:t>
      </w:r>
      <w:proofErr w:type="spellStart"/>
      <w:r w:rsidRPr="00630822">
        <w:rPr>
          <w:rFonts w:ascii="Times New Roman" w:hAnsi="Times New Roman" w:cs="Times New Roman"/>
          <w:sz w:val="24"/>
          <w:szCs w:val="24"/>
        </w:rPr>
        <w:t>Suhadi</w:t>
      </w:r>
      <w:proofErr w:type="spellEnd"/>
      <w:r w:rsidRPr="00630822">
        <w:rPr>
          <w:rFonts w:ascii="Times New Roman" w:hAnsi="Times New Roman" w:cs="Times New Roman"/>
          <w:sz w:val="24"/>
          <w:szCs w:val="24"/>
        </w:rPr>
        <w:t xml:space="preserve"> et al., 2024). Sari (2025), in a case study conducted in Yogyakarta, found that low levels of public legal literacy regarding the legality of land transactions contribute to ownership uncertainty and the potential for social conflict, as communities tend to avoid formal procedures perceived as complicated, thereby weakening legal guarantees of ownership protection (Sari, 2025). </w:t>
      </w:r>
      <w:proofErr w:type="spellStart"/>
      <w:r w:rsidRPr="00630822">
        <w:rPr>
          <w:rFonts w:ascii="Times New Roman" w:hAnsi="Times New Roman" w:cs="Times New Roman"/>
          <w:sz w:val="24"/>
          <w:szCs w:val="24"/>
        </w:rPr>
        <w:t>Nuryasinta</w:t>
      </w:r>
      <w:proofErr w:type="spellEnd"/>
      <w:r w:rsidRPr="00630822">
        <w:rPr>
          <w:rFonts w:ascii="Times New Roman" w:hAnsi="Times New Roman" w:cs="Times New Roman"/>
          <w:sz w:val="24"/>
          <w:szCs w:val="24"/>
        </w:rPr>
        <w:t xml:space="preserve"> and Wardoyo (2024) further demonstrate that empowerment approaches grounded in local contexts can enhance community understanding of land law rights and obligations by involving local stakeholders in land dispute resolution processes and strengthening the relationship between national law and customary law (</w:t>
      </w:r>
      <w:proofErr w:type="spellStart"/>
      <w:r w:rsidRPr="00630822">
        <w:rPr>
          <w:rFonts w:ascii="Times New Roman" w:hAnsi="Times New Roman" w:cs="Times New Roman"/>
          <w:sz w:val="24"/>
          <w:szCs w:val="24"/>
        </w:rPr>
        <w:t>Nuryasinta</w:t>
      </w:r>
      <w:proofErr w:type="spellEnd"/>
      <w:r w:rsidRPr="00630822">
        <w:rPr>
          <w:rFonts w:ascii="Times New Roman" w:hAnsi="Times New Roman" w:cs="Times New Roman"/>
          <w:sz w:val="24"/>
          <w:szCs w:val="24"/>
        </w:rPr>
        <w:t xml:space="preserve"> &amp; Wardoyo, 2024). Meanwhile, </w:t>
      </w:r>
      <w:proofErr w:type="spellStart"/>
      <w:r w:rsidRPr="00630822">
        <w:rPr>
          <w:rFonts w:ascii="Times New Roman" w:hAnsi="Times New Roman" w:cs="Times New Roman"/>
          <w:sz w:val="24"/>
          <w:szCs w:val="24"/>
        </w:rPr>
        <w:t>Taolin</w:t>
      </w:r>
      <w:proofErr w:type="spellEnd"/>
      <w:r w:rsidRPr="00630822">
        <w:rPr>
          <w:rFonts w:ascii="Times New Roman" w:hAnsi="Times New Roman" w:cs="Times New Roman"/>
          <w:sz w:val="24"/>
          <w:szCs w:val="24"/>
        </w:rPr>
        <w:t xml:space="preserve">, </w:t>
      </w:r>
      <w:proofErr w:type="spellStart"/>
      <w:r w:rsidRPr="00630822">
        <w:rPr>
          <w:rFonts w:ascii="Times New Roman" w:hAnsi="Times New Roman" w:cs="Times New Roman"/>
          <w:sz w:val="24"/>
          <w:szCs w:val="24"/>
        </w:rPr>
        <w:t>Mujiburohman</w:t>
      </w:r>
      <w:proofErr w:type="spellEnd"/>
      <w:r w:rsidRPr="00630822">
        <w:rPr>
          <w:rFonts w:ascii="Times New Roman" w:hAnsi="Times New Roman" w:cs="Times New Roman"/>
          <w:sz w:val="24"/>
          <w:szCs w:val="24"/>
        </w:rPr>
        <w:t xml:space="preserve">, and </w:t>
      </w:r>
      <w:proofErr w:type="spellStart"/>
      <w:r w:rsidRPr="00630822">
        <w:rPr>
          <w:rFonts w:ascii="Times New Roman" w:hAnsi="Times New Roman" w:cs="Times New Roman"/>
          <w:sz w:val="24"/>
          <w:szCs w:val="24"/>
        </w:rPr>
        <w:t>Widarbo</w:t>
      </w:r>
      <w:proofErr w:type="spellEnd"/>
      <w:r w:rsidRPr="00630822">
        <w:rPr>
          <w:rFonts w:ascii="Times New Roman" w:hAnsi="Times New Roman" w:cs="Times New Roman"/>
          <w:sz w:val="24"/>
          <w:szCs w:val="24"/>
        </w:rPr>
        <w:t xml:space="preserve"> (2024) emphasize that public legal awareness of land registration and transfer of rights significantly influences community understanding and attitudes toward agrarian legal procedures; consequently, insufficient understanding contributes to recurring disputes and low levels of public participation in formal legal mechanisms (</w:t>
      </w:r>
      <w:proofErr w:type="spellStart"/>
      <w:r w:rsidRPr="00630822">
        <w:rPr>
          <w:rFonts w:ascii="Times New Roman" w:hAnsi="Times New Roman" w:cs="Times New Roman"/>
          <w:sz w:val="24"/>
          <w:szCs w:val="24"/>
        </w:rPr>
        <w:t>Taolin</w:t>
      </w:r>
      <w:proofErr w:type="spellEnd"/>
      <w:r w:rsidRPr="00630822">
        <w:rPr>
          <w:rFonts w:ascii="Times New Roman" w:hAnsi="Times New Roman" w:cs="Times New Roman"/>
          <w:sz w:val="24"/>
          <w:szCs w:val="24"/>
        </w:rPr>
        <w:t xml:space="preserve">, </w:t>
      </w:r>
      <w:proofErr w:type="spellStart"/>
      <w:r w:rsidRPr="00630822">
        <w:rPr>
          <w:rFonts w:ascii="Times New Roman" w:hAnsi="Times New Roman" w:cs="Times New Roman"/>
          <w:sz w:val="24"/>
          <w:szCs w:val="24"/>
        </w:rPr>
        <w:t>Mujiburohman</w:t>
      </w:r>
      <w:proofErr w:type="spellEnd"/>
      <w:r w:rsidRPr="00630822">
        <w:rPr>
          <w:rFonts w:ascii="Times New Roman" w:hAnsi="Times New Roman" w:cs="Times New Roman"/>
          <w:sz w:val="24"/>
          <w:szCs w:val="24"/>
        </w:rPr>
        <w:t xml:space="preserve">, &amp; </w:t>
      </w:r>
      <w:proofErr w:type="spellStart"/>
      <w:r w:rsidRPr="00630822">
        <w:rPr>
          <w:rFonts w:ascii="Times New Roman" w:hAnsi="Times New Roman" w:cs="Times New Roman"/>
          <w:sz w:val="24"/>
          <w:szCs w:val="24"/>
        </w:rPr>
        <w:t>Widarbo</w:t>
      </w:r>
      <w:proofErr w:type="spellEnd"/>
      <w:r w:rsidRPr="00630822">
        <w:rPr>
          <w:rFonts w:ascii="Times New Roman" w:hAnsi="Times New Roman" w:cs="Times New Roman"/>
          <w:sz w:val="24"/>
          <w:szCs w:val="24"/>
        </w:rPr>
        <w:t>, 2024).</w:t>
      </w:r>
    </w:p>
    <w:p w14:paraId="599B6FDA" w14:textId="77777777" w:rsidR="00630822" w:rsidRPr="00630822" w:rsidRDefault="00630822" w:rsidP="00630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hAnsi="Times New Roman" w:cs="Times New Roman"/>
          <w:sz w:val="24"/>
          <w:szCs w:val="24"/>
        </w:rPr>
      </w:pPr>
      <w:r w:rsidRPr="00630822">
        <w:rPr>
          <w:rFonts w:ascii="Times New Roman" w:hAnsi="Times New Roman" w:cs="Times New Roman"/>
          <w:sz w:val="24"/>
          <w:szCs w:val="24"/>
        </w:rPr>
        <w:t xml:space="preserve">Although these studies highlight aspects of public legal literacy and land disputes, a research gap remains in the form of an integrative theory that conceptually combines these elements with a specific focus on the protection of community ownership rights within the normative framework of property law. Most existing studies remain empirical in nature or focus on legal education programs </w:t>
      </w:r>
      <w:r w:rsidRPr="00630822">
        <w:rPr>
          <w:rFonts w:ascii="Times New Roman" w:hAnsi="Times New Roman" w:cs="Times New Roman"/>
          <w:sz w:val="24"/>
          <w:szCs w:val="24"/>
        </w:rPr>
        <w:lastRenderedPageBreak/>
        <w:t>without formulating a comprehensive theoretical model that explains how social literacy can structurally and normatively reinforce property law protection.</w:t>
      </w:r>
    </w:p>
    <w:p w14:paraId="11BB948B" w14:textId="65110937" w:rsidR="00072C2E" w:rsidRPr="00630822" w:rsidRDefault="00630822" w:rsidP="00630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630822">
        <w:rPr>
          <w:rFonts w:ascii="Times New Roman" w:hAnsi="Times New Roman" w:cs="Times New Roman"/>
          <w:sz w:val="24"/>
          <w:szCs w:val="24"/>
        </w:rPr>
        <w:t>Therefore, an integrative theoretical approach is required</w:t>
      </w:r>
      <w:r w:rsidRPr="00630822">
        <w:rPr>
          <w:rFonts w:ascii="Times New Roman" w:hAnsi="Times New Roman" w:cs="Times New Roman"/>
          <w:sz w:val="24"/>
          <w:szCs w:val="24"/>
        </w:rPr>
        <w:t xml:space="preserve"> </w:t>
      </w:r>
      <w:r w:rsidRPr="00630822">
        <w:rPr>
          <w:rFonts w:ascii="Times New Roman" w:hAnsi="Times New Roman" w:cs="Times New Roman"/>
          <w:sz w:val="24"/>
          <w:szCs w:val="24"/>
        </w:rPr>
        <w:t>one that combines formal property law with social literacy as an instrument for protecting ownership rights</w:t>
      </w:r>
      <w:r w:rsidRPr="00630822">
        <w:rPr>
          <w:rFonts w:ascii="Times New Roman" w:hAnsi="Times New Roman" w:cs="Times New Roman"/>
          <w:sz w:val="24"/>
          <w:szCs w:val="24"/>
        </w:rPr>
        <w:t xml:space="preserve">, </w:t>
      </w:r>
      <w:r w:rsidRPr="00630822">
        <w:rPr>
          <w:rFonts w:ascii="Times New Roman" w:hAnsi="Times New Roman" w:cs="Times New Roman"/>
          <w:sz w:val="24"/>
          <w:szCs w:val="24"/>
        </w:rPr>
        <w:t xml:space="preserve">so that existing regulations do not merely function as written norms but also become social practices that are understood and implemented by the community (Fakhry </w:t>
      </w:r>
      <w:proofErr w:type="spellStart"/>
      <w:r w:rsidRPr="00630822">
        <w:rPr>
          <w:rFonts w:ascii="Times New Roman" w:hAnsi="Times New Roman" w:cs="Times New Roman"/>
          <w:sz w:val="24"/>
          <w:szCs w:val="24"/>
        </w:rPr>
        <w:t>Firmanto</w:t>
      </w:r>
      <w:proofErr w:type="spellEnd"/>
      <w:r w:rsidRPr="00630822">
        <w:rPr>
          <w:rFonts w:ascii="Times New Roman" w:hAnsi="Times New Roman" w:cs="Times New Roman"/>
          <w:sz w:val="24"/>
          <w:szCs w:val="24"/>
        </w:rPr>
        <w:t xml:space="preserve"> &amp; </w:t>
      </w:r>
      <w:proofErr w:type="spellStart"/>
      <w:r w:rsidRPr="00630822">
        <w:rPr>
          <w:rFonts w:ascii="Times New Roman" w:hAnsi="Times New Roman" w:cs="Times New Roman"/>
          <w:sz w:val="24"/>
          <w:szCs w:val="24"/>
        </w:rPr>
        <w:t>Sutrisno</w:t>
      </w:r>
      <w:proofErr w:type="spellEnd"/>
      <w:r w:rsidRPr="00630822">
        <w:rPr>
          <w:rFonts w:ascii="Times New Roman" w:hAnsi="Times New Roman" w:cs="Times New Roman"/>
          <w:sz w:val="24"/>
          <w:szCs w:val="24"/>
        </w:rPr>
        <w:t>, 2026)</w:t>
      </w:r>
      <w:r w:rsidR="00DD7DB7" w:rsidRPr="00630822">
        <w:rPr>
          <w:rFonts w:ascii="Times New Roman" w:eastAsia="Times New Roman" w:hAnsi="Times New Roman" w:cs="Times New Roman"/>
          <w:sz w:val="24"/>
          <w:szCs w:val="24"/>
        </w:rPr>
        <w:t>.</w:t>
      </w:r>
    </w:p>
    <w:p w14:paraId="643E56AF" w14:textId="77777777" w:rsidR="00072C2E" w:rsidRDefault="00072C2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490"/>
        <w:jc w:val="both"/>
        <w:rPr>
          <w:rFonts w:ascii="Times New Roman" w:eastAsia="Times New Roman" w:hAnsi="Times New Roman" w:cs="Times New Roman"/>
          <w:sz w:val="24"/>
          <w:szCs w:val="24"/>
        </w:rPr>
      </w:pPr>
    </w:p>
    <w:p w14:paraId="46906EA3" w14:textId="06FFD708" w:rsidR="00072C2E" w:rsidRDefault="00DD7DB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RESEARCH METHODS</w:t>
      </w:r>
    </w:p>
    <w:p w14:paraId="2E5EE7B4" w14:textId="77777777" w:rsidR="00630822" w:rsidRPr="00630822" w:rsidRDefault="00630822" w:rsidP="00630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490"/>
        <w:jc w:val="both"/>
        <w:rPr>
          <w:rFonts w:ascii="Times New Roman" w:hAnsi="Times New Roman" w:cs="Times New Roman"/>
          <w:sz w:val="24"/>
          <w:szCs w:val="24"/>
        </w:rPr>
      </w:pPr>
      <w:r w:rsidRPr="00630822">
        <w:rPr>
          <w:rFonts w:ascii="Times New Roman" w:hAnsi="Times New Roman" w:cs="Times New Roman"/>
          <w:sz w:val="24"/>
          <w:szCs w:val="24"/>
        </w:rPr>
        <w:t>This study employs a conceptual approach to formulate an integrative theoretical model of property law and social literacy as an instrument for protecting community ownership rights. This approach is selected because the research aims to develop and synthesize concepts of agrarian law, legal literacy, and social dynamics, rather than to collect new empirical data in the field. Accordingly, the most appropriate method is theoretical and documentary analysis, as well as conceptual formulation based on comprehensive scholarly literature.</w:t>
      </w:r>
    </w:p>
    <w:p w14:paraId="2B77AB7F" w14:textId="77777777" w:rsidR="00630822" w:rsidRPr="00630822" w:rsidRDefault="00630822" w:rsidP="00630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490"/>
        <w:jc w:val="both"/>
        <w:rPr>
          <w:rFonts w:ascii="Times New Roman" w:hAnsi="Times New Roman" w:cs="Times New Roman"/>
          <w:sz w:val="24"/>
          <w:szCs w:val="24"/>
        </w:rPr>
      </w:pPr>
      <w:r w:rsidRPr="00630822">
        <w:rPr>
          <w:rFonts w:ascii="Times New Roman" w:hAnsi="Times New Roman" w:cs="Times New Roman"/>
          <w:sz w:val="24"/>
          <w:szCs w:val="24"/>
        </w:rPr>
        <w:t>Research data are obtained through an intensive literature review, including the examination of national legal documents (such as Law Number 5 of 1960 on Basic Agrarian Principles and its implementing regulations), academic literature from international and national journals, and legal theory books relevant to property law, land ownership, legal literacy, and social aspects of society. Normative legal analysis is applied to understand the principles, norms, and objectives of legal protection within the property law system.</w:t>
      </w:r>
    </w:p>
    <w:p w14:paraId="7538E6AC" w14:textId="77777777" w:rsidR="00630822" w:rsidRPr="00630822" w:rsidRDefault="00630822" w:rsidP="00630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490"/>
        <w:jc w:val="both"/>
        <w:rPr>
          <w:rFonts w:ascii="Times New Roman" w:hAnsi="Times New Roman" w:cs="Times New Roman"/>
          <w:sz w:val="24"/>
          <w:szCs w:val="24"/>
        </w:rPr>
      </w:pPr>
      <w:r w:rsidRPr="00630822">
        <w:rPr>
          <w:rFonts w:ascii="Times New Roman" w:hAnsi="Times New Roman" w:cs="Times New Roman"/>
          <w:sz w:val="24"/>
          <w:szCs w:val="24"/>
        </w:rPr>
        <w:t>Within this conceptual framework, a synthesis process is conducted by integrating agrarian law concepts, social literacy as a tool for legal empowerment of communities, and legal protection theory in order to construct a new conceptual framework. The synthesis is carried out by comparing key aspects of agrarian law studies</w:t>
      </w:r>
      <w:r w:rsidRPr="00630822">
        <w:rPr>
          <w:rFonts w:ascii="Times New Roman" w:hAnsi="Times New Roman" w:cs="Times New Roman"/>
          <w:sz w:val="24"/>
          <w:szCs w:val="24"/>
        </w:rPr>
        <w:t xml:space="preserve"> </w:t>
      </w:r>
      <w:r w:rsidRPr="00630822">
        <w:rPr>
          <w:rFonts w:ascii="Times New Roman" w:hAnsi="Times New Roman" w:cs="Times New Roman"/>
          <w:sz w:val="24"/>
          <w:szCs w:val="24"/>
        </w:rPr>
        <w:t>including interpretations of ownership rights and the social function of land</w:t>
      </w:r>
      <w:r w:rsidRPr="00630822">
        <w:rPr>
          <w:rFonts w:ascii="Times New Roman" w:hAnsi="Times New Roman" w:cs="Times New Roman"/>
          <w:sz w:val="24"/>
          <w:szCs w:val="24"/>
        </w:rPr>
        <w:t xml:space="preserve"> </w:t>
      </w:r>
      <w:r w:rsidRPr="00630822">
        <w:rPr>
          <w:rFonts w:ascii="Times New Roman" w:hAnsi="Times New Roman" w:cs="Times New Roman"/>
          <w:sz w:val="24"/>
          <w:szCs w:val="24"/>
        </w:rPr>
        <w:t>with literature demonstrating the relationship between levels of public legal literacy, dispute risks, and the effectiveness of legal protection.</w:t>
      </w:r>
    </w:p>
    <w:p w14:paraId="2BA19776" w14:textId="77777777" w:rsidR="00630822" w:rsidRPr="00630822" w:rsidRDefault="00630822" w:rsidP="00630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490"/>
        <w:jc w:val="both"/>
        <w:rPr>
          <w:rFonts w:ascii="Times New Roman" w:hAnsi="Times New Roman" w:cs="Times New Roman"/>
          <w:sz w:val="24"/>
          <w:szCs w:val="24"/>
        </w:rPr>
      </w:pPr>
      <w:r w:rsidRPr="00630822">
        <w:rPr>
          <w:rFonts w:ascii="Times New Roman" w:hAnsi="Times New Roman" w:cs="Times New Roman"/>
          <w:sz w:val="24"/>
          <w:szCs w:val="24"/>
        </w:rPr>
        <w:t>Furthermore, this research incorporates the theoretical dimension of land ownership as presented in studies on legal culture, as philosophical and cultural analyses of property law enrich the understanding of the relationship between society and land rights as broader social entities. Through this conceptual synthesis, a comparison is made between positive law concepts and social legal literacy concepts to formulate a new integrative model capable of explaining not only juridical aspects, but also the role of social literacy in effectively promoting the protection of community ownership rights.</w:t>
      </w:r>
    </w:p>
    <w:p w14:paraId="6E8E652F" w14:textId="713C5D1C" w:rsidR="00630822" w:rsidRPr="00630822" w:rsidRDefault="00630822" w:rsidP="00630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490"/>
        <w:jc w:val="both"/>
        <w:rPr>
          <w:rFonts w:ascii="Times New Roman" w:eastAsia="Times New Roman" w:hAnsi="Times New Roman" w:cs="Times New Roman"/>
          <w:sz w:val="24"/>
          <w:szCs w:val="24"/>
        </w:rPr>
      </w:pPr>
      <w:r w:rsidRPr="00630822">
        <w:rPr>
          <w:rFonts w:ascii="Times New Roman" w:hAnsi="Times New Roman" w:cs="Times New Roman"/>
          <w:sz w:val="24"/>
          <w:szCs w:val="24"/>
        </w:rPr>
        <w:t>Through this conceptual approach, the study seeks to develop a robust theoretical framework that can serve as a foundation for the development of legal education instruments, public policy recommendations, and further research in the fields of agrarian law and community social literacy.</w:t>
      </w:r>
    </w:p>
    <w:p w14:paraId="0ADBA2C2" w14:textId="77777777" w:rsidR="00072C2E" w:rsidRDefault="00072C2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490"/>
        <w:jc w:val="both"/>
        <w:rPr>
          <w:rFonts w:ascii="Times New Roman" w:eastAsia="Times New Roman" w:hAnsi="Times New Roman" w:cs="Times New Roman"/>
          <w:color w:val="000000"/>
          <w:sz w:val="24"/>
          <w:szCs w:val="24"/>
        </w:rPr>
      </w:pPr>
    </w:p>
    <w:p w14:paraId="26FFAF17" w14:textId="7E897019" w:rsidR="00072C2E" w:rsidRDefault="00DD7DB7" w:rsidP="00DB3D61">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1F1F1F"/>
          <w:sz w:val="24"/>
          <w:szCs w:val="24"/>
          <w:shd w:val="clear" w:color="auto" w:fill="F8F9FA"/>
        </w:rPr>
        <w:t>RESULTS AND DISCUSSION</w:t>
      </w:r>
    </w:p>
    <w:p w14:paraId="5DDBE29D" w14:textId="501D1A33" w:rsidR="00DB3D61" w:rsidRPr="00DB3D61" w:rsidRDefault="00DB3D61" w:rsidP="00DB3D61">
      <w:pPr>
        <w:pStyle w:val="ListParagraph"/>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rFonts w:ascii="Times New Roman" w:eastAsia="Times New Roman" w:hAnsi="Times New Roman" w:cs="Times New Roman"/>
          <w:b/>
          <w:bCs/>
          <w:color w:val="1F1F1F"/>
          <w:sz w:val="42"/>
          <w:szCs w:val="42"/>
          <w:shd w:val="clear" w:color="auto" w:fill="F8F9FA"/>
        </w:rPr>
      </w:pPr>
      <w:r w:rsidRPr="00DB3D61">
        <w:rPr>
          <w:rFonts w:ascii="Times New Roman" w:hAnsi="Times New Roman" w:cs="Times New Roman"/>
          <w:b/>
          <w:bCs/>
        </w:rPr>
        <w:t>Conceptual Reconstruction of the Protection of Ownership Rights within the Property Law System</w:t>
      </w:r>
    </w:p>
    <w:p w14:paraId="0782F2C5" w14:textId="153B3372" w:rsidR="00DB3D61" w:rsidRPr="00DB3D61" w:rsidRDefault="00DB3D61" w:rsidP="004D1BC9">
      <w:pPr>
        <w:pStyle w:val="ListParagraph"/>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hAnsi="Times New Roman" w:cs="Times New Roman"/>
          <w:sz w:val="24"/>
          <w:szCs w:val="24"/>
        </w:rPr>
      </w:pPr>
      <w:r w:rsidRPr="00DB3D61">
        <w:rPr>
          <w:rFonts w:ascii="Times New Roman" w:hAnsi="Times New Roman" w:cs="Times New Roman"/>
          <w:sz w:val="24"/>
          <w:szCs w:val="24"/>
        </w:rPr>
        <w:t>The results of this conceptual study indicate that the protection of ownership rights within the Indonesian property law system has thus far remained predominantly grounded in a normative–formal approach, particularly through instruments such as land registration, certification, and the enforcement of administrative and civil law. Law Number 5 of 1960 on Basic Agrarian Principles (UUPA) explicitly positions ownership rights (</w:t>
      </w:r>
      <w:proofErr w:type="spellStart"/>
      <w:r w:rsidRPr="00DB3D61">
        <w:rPr>
          <w:rStyle w:val="Emphasis"/>
          <w:rFonts w:ascii="Times New Roman" w:hAnsi="Times New Roman" w:cs="Times New Roman"/>
          <w:sz w:val="24"/>
          <w:szCs w:val="24"/>
        </w:rPr>
        <w:t>hak</w:t>
      </w:r>
      <w:proofErr w:type="spellEnd"/>
      <w:r w:rsidRPr="00DB3D61">
        <w:rPr>
          <w:rStyle w:val="Emphasis"/>
          <w:rFonts w:ascii="Times New Roman" w:hAnsi="Times New Roman" w:cs="Times New Roman"/>
          <w:sz w:val="24"/>
          <w:szCs w:val="24"/>
        </w:rPr>
        <w:t xml:space="preserve"> </w:t>
      </w:r>
      <w:proofErr w:type="spellStart"/>
      <w:r w:rsidRPr="00DB3D61">
        <w:rPr>
          <w:rStyle w:val="Emphasis"/>
          <w:rFonts w:ascii="Times New Roman" w:hAnsi="Times New Roman" w:cs="Times New Roman"/>
          <w:sz w:val="24"/>
          <w:szCs w:val="24"/>
        </w:rPr>
        <w:t>milik</w:t>
      </w:r>
      <w:proofErr w:type="spellEnd"/>
      <w:r w:rsidRPr="00DB3D61">
        <w:rPr>
          <w:rFonts w:ascii="Times New Roman" w:hAnsi="Times New Roman" w:cs="Times New Roman"/>
          <w:sz w:val="24"/>
          <w:szCs w:val="24"/>
        </w:rPr>
        <w:t>) as the strongest and most complete rights over land. However, at the level of implementation, this normative strength has not yet fully ensured legal certainty and effective protection of community ownership rights.</w:t>
      </w:r>
    </w:p>
    <w:p w14:paraId="1B316ACB" w14:textId="4788BAC8" w:rsidR="00DB3D61" w:rsidRPr="000D5627" w:rsidRDefault="00DB3D61" w:rsidP="000D5627">
      <w:pPr>
        <w:pStyle w:val="ListParagraph"/>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Times New Roman" w:hAnsi="Times New Roman" w:cs="Times New Roman"/>
          <w:sz w:val="24"/>
          <w:szCs w:val="24"/>
        </w:rPr>
      </w:pPr>
      <w:r w:rsidRPr="00DB3D61">
        <w:rPr>
          <w:rFonts w:ascii="Times New Roman" w:hAnsi="Times New Roman" w:cs="Times New Roman"/>
          <w:sz w:val="24"/>
          <w:szCs w:val="24"/>
        </w:rPr>
        <w:t>Table 1</w:t>
      </w:r>
      <w:r w:rsidR="000D5627">
        <w:rPr>
          <w:rFonts w:ascii="Times New Roman" w:hAnsi="Times New Roman" w:cs="Times New Roman"/>
          <w:sz w:val="24"/>
          <w:szCs w:val="24"/>
        </w:rPr>
        <w:t xml:space="preserve">. </w:t>
      </w:r>
      <w:r w:rsidRPr="000D5627">
        <w:rPr>
          <w:rFonts w:ascii="Times New Roman" w:hAnsi="Times New Roman" w:cs="Times New Roman"/>
          <w:sz w:val="24"/>
          <w:szCs w:val="24"/>
        </w:rPr>
        <w:t xml:space="preserve">Reconstruction of the </w:t>
      </w:r>
      <w:r w:rsidR="000D5627" w:rsidRPr="000D5627">
        <w:rPr>
          <w:rFonts w:ascii="Times New Roman" w:hAnsi="Times New Roman" w:cs="Times New Roman"/>
          <w:sz w:val="24"/>
          <w:szCs w:val="24"/>
        </w:rPr>
        <w:t>Basic Agrarian Principles (UUPA</w:t>
      </w:r>
      <w:r w:rsidR="000D5627" w:rsidRPr="000D5627">
        <w:rPr>
          <w:rFonts w:ascii="Times New Roman" w:hAnsi="Times New Roman" w:cs="Times New Roman"/>
          <w:sz w:val="24"/>
          <w:szCs w:val="24"/>
        </w:rPr>
        <w:t>)</w:t>
      </w:r>
    </w:p>
    <w:tbl>
      <w:tblPr>
        <w:tblStyle w:val="TableGrid"/>
        <w:tblW w:w="0" w:type="auto"/>
        <w:tblInd w:w="567" w:type="dxa"/>
        <w:tblLook w:val="04A0" w:firstRow="1" w:lastRow="0" w:firstColumn="1" w:lastColumn="0" w:noHBand="0" w:noVBand="1"/>
      </w:tblPr>
      <w:tblGrid>
        <w:gridCol w:w="1555"/>
        <w:gridCol w:w="2409"/>
        <w:gridCol w:w="2410"/>
        <w:gridCol w:w="3021"/>
      </w:tblGrid>
      <w:tr w:rsidR="000D5627" w:rsidRPr="004D1BC9" w14:paraId="268E9640" w14:textId="77777777" w:rsidTr="000D5627">
        <w:tc>
          <w:tcPr>
            <w:tcW w:w="1555" w:type="dxa"/>
            <w:vAlign w:val="center"/>
          </w:tcPr>
          <w:p w14:paraId="58E47E96" w14:textId="430C96AE" w:rsidR="000D5627" w:rsidRPr="004D1BC9" w:rsidRDefault="000D5627"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Times New Roman" w:hAnsi="Times New Roman" w:cs="Times New Roman"/>
                <w:b/>
                <w:bCs/>
                <w:sz w:val="24"/>
                <w:szCs w:val="24"/>
              </w:rPr>
            </w:pPr>
            <w:r w:rsidRPr="004D1BC9">
              <w:rPr>
                <w:rFonts w:ascii="Times New Roman" w:hAnsi="Times New Roman" w:cs="Times New Roman"/>
                <w:b/>
                <w:bCs/>
                <w:sz w:val="24"/>
                <w:szCs w:val="24"/>
              </w:rPr>
              <w:lastRenderedPageBreak/>
              <w:t>UUPA Provision</w:t>
            </w:r>
          </w:p>
        </w:tc>
        <w:tc>
          <w:tcPr>
            <w:tcW w:w="2409" w:type="dxa"/>
            <w:vAlign w:val="center"/>
          </w:tcPr>
          <w:p w14:paraId="50D919F5" w14:textId="0B646D95" w:rsidR="000D5627" w:rsidRPr="004D1BC9" w:rsidRDefault="000D5627"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Times New Roman" w:hAnsi="Times New Roman" w:cs="Times New Roman"/>
                <w:b/>
                <w:bCs/>
                <w:sz w:val="24"/>
                <w:szCs w:val="24"/>
              </w:rPr>
            </w:pPr>
            <w:r w:rsidRPr="004D1BC9">
              <w:rPr>
                <w:rFonts w:ascii="Times New Roman" w:hAnsi="Times New Roman" w:cs="Times New Roman"/>
                <w:b/>
                <w:bCs/>
                <w:sz w:val="24"/>
                <w:szCs w:val="24"/>
              </w:rPr>
              <w:t>Positive Normative Formulation</w:t>
            </w:r>
          </w:p>
        </w:tc>
        <w:tc>
          <w:tcPr>
            <w:tcW w:w="2410" w:type="dxa"/>
            <w:vAlign w:val="center"/>
          </w:tcPr>
          <w:p w14:paraId="33C5A133" w14:textId="016CB3D5" w:rsidR="000D5627" w:rsidRPr="004D1BC9" w:rsidRDefault="000D5627"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Times New Roman" w:hAnsi="Times New Roman" w:cs="Times New Roman"/>
                <w:b/>
                <w:bCs/>
                <w:sz w:val="24"/>
                <w:szCs w:val="24"/>
              </w:rPr>
            </w:pPr>
            <w:r w:rsidRPr="004D1BC9">
              <w:rPr>
                <w:rFonts w:ascii="Times New Roman" w:hAnsi="Times New Roman" w:cs="Times New Roman"/>
                <w:b/>
                <w:bCs/>
                <w:sz w:val="24"/>
                <w:szCs w:val="24"/>
              </w:rPr>
              <w:t>Prevailing Protection Orientation</w:t>
            </w:r>
          </w:p>
        </w:tc>
        <w:tc>
          <w:tcPr>
            <w:tcW w:w="3021" w:type="dxa"/>
            <w:vAlign w:val="center"/>
          </w:tcPr>
          <w:p w14:paraId="3FC5E929" w14:textId="50078289" w:rsidR="000D5627" w:rsidRPr="004D1BC9" w:rsidRDefault="000D5627"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Times New Roman" w:hAnsi="Times New Roman" w:cs="Times New Roman"/>
                <w:b/>
                <w:bCs/>
                <w:sz w:val="24"/>
                <w:szCs w:val="24"/>
              </w:rPr>
            </w:pPr>
            <w:r w:rsidRPr="004D1BC9">
              <w:rPr>
                <w:rFonts w:ascii="Times New Roman" w:hAnsi="Times New Roman" w:cs="Times New Roman"/>
                <w:b/>
                <w:bCs/>
                <w:sz w:val="24"/>
                <w:szCs w:val="24"/>
              </w:rPr>
              <w:t>Social-Literacy-Based Conceptual Reconstruction</w:t>
            </w:r>
          </w:p>
        </w:tc>
      </w:tr>
      <w:tr w:rsidR="000D5627" w:rsidRPr="004D1BC9" w14:paraId="6D888EF7" w14:textId="77777777" w:rsidTr="000D5627">
        <w:tc>
          <w:tcPr>
            <w:tcW w:w="1555" w:type="dxa"/>
          </w:tcPr>
          <w:p w14:paraId="4726CC3F" w14:textId="5491755B" w:rsidR="000D5627" w:rsidRPr="004D1BC9" w:rsidRDefault="000D5627"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4D1BC9">
              <w:rPr>
                <w:rFonts w:ascii="Times New Roman" w:hAnsi="Times New Roman" w:cs="Times New Roman"/>
                <w:sz w:val="24"/>
                <w:szCs w:val="24"/>
              </w:rPr>
              <w:t>Article 20(1) UUPA</w:t>
            </w:r>
          </w:p>
        </w:tc>
        <w:tc>
          <w:tcPr>
            <w:tcW w:w="2409" w:type="dxa"/>
          </w:tcPr>
          <w:p w14:paraId="3676732A" w14:textId="4FEB76FD" w:rsidR="000D5627" w:rsidRPr="004D1BC9" w:rsidRDefault="004D1BC9"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4D1BC9">
              <w:rPr>
                <w:rFonts w:ascii="Times New Roman" w:hAnsi="Times New Roman" w:cs="Times New Roman"/>
                <w:sz w:val="24"/>
                <w:szCs w:val="24"/>
              </w:rPr>
              <w:t>Ownership is a hereditary, strongest, and most complete right over land</w:t>
            </w:r>
          </w:p>
        </w:tc>
        <w:tc>
          <w:tcPr>
            <w:tcW w:w="2410" w:type="dxa"/>
          </w:tcPr>
          <w:p w14:paraId="792CE9C5" w14:textId="259081A3" w:rsidR="000D5627" w:rsidRPr="004D1BC9" w:rsidRDefault="004D1BC9"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4D1BC9">
              <w:rPr>
                <w:rFonts w:ascii="Times New Roman" w:hAnsi="Times New Roman" w:cs="Times New Roman"/>
                <w:sz w:val="24"/>
                <w:szCs w:val="24"/>
              </w:rPr>
              <w:t>Formal legal certainty through recognition of legal status</w:t>
            </w:r>
          </w:p>
        </w:tc>
        <w:tc>
          <w:tcPr>
            <w:tcW w:w="3021" w:type="dxa"/>
          </w:tcPr>
          <w:p w14:paraId="4B1130C3" w14:textId="45B23F64" w:rsidR="000D5627" w:rsidRPr="004D1BC9" w:rsidRDefault="000D5627"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4D1BC9">
              <w:rPr>
                <w:rFonts w:ascii="Times New Roman" w:hAnsi="Times New Roman" w:cs="Times New Roman"/>
                <w:sz w:val="24"/>
                <w:szCs w:val="24"/>
              </w:rPr>
              <w:t>Ownership is understood not merely as a juridical status, but as a social relationship requiring public understanding for effective protection</w:t>
            </w:r>
          </w:p>
        </w:tc>
      </w:tr>
      <w:tr w:rsidR="000D5627" w:rsidRPr="004D1BC9" w14:paraId="28AB56E6" w14:textId="77777777" w:rsidTr="000D5627">
        <w:tc>
          <w:tcPr>
            <w:tcW w:w="1555" w:type="dxa"/>
          </w:tcPr>
          <w:p w14:paraId="319A258B" w14:textId="5FD39FFC" w:rsidR="000D5627" w:rsidRPr="004D1BC9" w:rsidRDefault="000D5627"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4D1BC9">
              <w:rPr>
                <w:rFonts w:ascii="Times New Roman" w:hAnsi="Times New Roman" w:cs="Times New Roman"/>
                <w:sz w:val="24"/>
                <w:szCs w:val="24"/>
              </w:rPr>
              <w:t>Article 20(2) UUPA</w:t>
            </w:r>
          </w:p>
        </w:tc>
        <w:tc>
          <w:tcPr>
            <w:tcW w:w="2409" w:type="dxa"/>
          </w:tcPr>
          <w:p w14:paraId="019F02F1" w14:textId="07101124" w:rsidR="000D5627" w:rsidRPr="004D1BC9" w:rsidRDefault="004D1BC9"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4D1BC9">
              <w:rPr>
                <w:rFonts w:ascii="Times New Roman" w:hAnsi="Times New Roman" w:cs="Times New Roman"/>
                <w:sz w:val="24"/>
                <w:szCs w:val="24"/>
              </w:rPr>
              <w:t>Ownership may be transferred and assigned to another party</w:t>
            </w:r>
          </w:p>
        </w:tc>
        <w:tc>
          <w:tcPr>
            <w:tcW w:w="2410" w:type="dxa"/>
          </w:tcPr>
          <w:p w14:paraId="4C4088EE" w14:textId="24DD262A" w:rsidR="000D5627" w:rsidRPr="004D1BC9" w:rsidRDefault="004D1BC9"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4D1BC9">
              <w:rPr>
                <w:rFonts w:ascii="Times New Roman" w:hAnsi="Times New Roman" w:cs="Times New Roman"/>
                <w:sz w:val="24"/>
                <w:szCs w:val="24"/>
              </w:rPr>
              <w:t>Emphasis on administrative transfer mechanisms</w:t>
            </w:r>
          </w:p>
        </w:tc>
        <w:tc>
          <w:tcPr>
            <w:tcW w:w="3021" w:type="dxa"/>
          </w:tcPr>
          <w:p w14:paraId="62D1E0D6" w14:textId="16B25BCA" w:rsidR="000D5627" w:rsidRPr="004D1BC9" w:rsidRDefault="000D5627"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4D1BC9">
              <w:rPr>
                <w:rFonts w:ascii="Times New Roman" w:hAnsi="Times New Roman" w:cs="Times New Roman"/>
                <w:sz w:val="24"/>
                <w:szCs w:val="24"/>
              </w:rPr>
              <w:t>Transfer of rights must be accompanied by community legal literacy to prevent manipulation, fraud, and ownership disputes</w:t>
            </w:r>
          </w:p>
        </w:tc>
      </w:tr>
      <w:tr w:rsidR="000D5627" w:rsidRPr="004D1BC9" w14:paraId="0172302B" w14:textId="77777777" w:rsidTr="000D5627">
        <w:tc>
          <w:tcPr>
            <w:tcW w:w="1555" w:type="dxa"/>
          </w:tcPr>
          <w:p w14:paraId="3809D0D2" w14:textId="5A25ED73" w:rsidR="000D5627" w:rsidRPr="004D1BC9" w:rsidRDefault="000D5627"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4D1BC9">
              <w:rPr>
                <w:rFonts w:ascii="Times New Roman" w:hAnsi="Times New Roman" w:cs="Times New Roman"/>
                <w:sz w:val="24"/>
                <w:szCs w:val="24"/>
              </w:rPr>
              <w:t>Article 23(1) UUPA</w:t>
            </w:r>
          </w:p>
        </w:tc>
        <w:tc>
          <w:tcPr>
            <w:tcW w:w="2409" w:type="dxa"/>
          </w:tcPr>
          <w:p w14:paraId="6B9CD11E" w14:textId="709EF76E" w:rsidR="000D5627" w:rsidRPr="004D1BC9" w:rsidRDefault="004D1BC9"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4D1BC9">
              <w:rPr>
                <w:rFonts w:ascii="Times New Roman" w:hAnsi="Times New Roman" w:cs="Times New Roman"/>
                <w:sz w:val="24"/>
                <w:szCs w:val="24"/>
              </w:rPr>
              <w:t>Ownership rights, as well as their transfer, extinguishment, and encumbrance, must be registered</w:t>
            </w:r>
          </w:p>
        </w:tc>
        <w:tc>
          <w:tcPr>
            <w:tcW w:w="2410" w:type="dxa"/>
          </w:tcPr>
          <w:p w14:paraId="7A0F5B04" w14:textId="5FB841E5" w:rsidR="000D5627" w:rsidRPr="004D1BC9" w:rsidRDefault="004D1BC9"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4D1BC9">
              <w:rPr>
                <w:rFonts w:ascii="Times New Roman" w:hAnsi="Times New Roman" w:cs="Times New Roman"/>
                <w:sz w:val="24"/>
                <w:szCs w:val="24"/>
              </w:rPr>
              <w:t>Registration as the primary instrument of protection</w:t>
            </w:r>
          </w:p>
        </w:tc>
        <w:tc>
          <w:tcPr>
            <w:tcW w:w="3021" w:type="dxa"/>
          </w:tcPr>
          <w:p w14:paraId="3A2390AE" w14:textId="549635A8" w:rsidR="000D5627" w:rsidRPr="004D1BC9" w:rsidRDefault="000D5627"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4D1BC9">
              <w:rPr>
                <w:rFonts w:ascii="Times New Roman" w:hAnsi="Times New Roman" w:cs="Times New Roman"/>
                <w:sz w:val="24"/>
                <w:szCs w:val="24"/>
              </w:rPr>
              <w:t>Land registration serves as initial protection that must be strengthened by legal awareness and procedural understanding</w:t>
            </w:r>
          </w:p>
        </w:tc>
      </w:tr>
      <w:tr w:rsidR="000D5627" w:rsidRPr="004D1BC9" w14:paraId="3513821A" w14:textId="77777777" w:rsidTr="000D5627">
        <w:tc>
          <w:tcPr>
            <w:tcW w:w="1555" w:type="dxa"/>
          </w:tcPr>
          <w:p w14:paraId="731AD5B2" w14:textId="2E1C1EBD" w:rsidR="000D5627" w:rsidRPr="004D1BC9" w:rsidRDefault="000D5627"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4D1BC9">
              <w:rPr>
                <w:rFonts w:ascii="Times New Roman" w:hAnsi="Times New Roman" w:cs="Times New Roman"/>
                <w:sz w:val="24"/>
                <w:szCs w:val="24"/>
              </w:rPr>
              <w:t>Article 23(2) UUPA</w:t>
            </w:r>
          </w:p>
        </w:tc>
        <w:tc>
          <w:tcPr>
            <w:tcW w:w="2409" w:type="dxa"/>
          </w:tcPr>
          <w:p w14:paraId="67850E3D" w14:textId="142283A2" w:rsidR="000D5627" w:rsidRPr="004D1BC9" w:rsidRDefault="004D1BC9"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4D1BC9">
              <w:rPr>
                <w:rFonts w:ascii="Times New Roman" w:hAnsi="Times New Roman" w:cs="Times New Roman"/>
                <w:sz w:val="24"/>
                <w:szCs w:val="24"/>
              </w:rPr>
              <w:t>Registration constitutes strong evidence of ownership</w:t>
            </w:r>
          </w:p>
        </w:tc>
        <w:tc>
          <w:tcPr>
            <w:tcW w:w="2410" w:type="dxa"/>
          </w:tcPr>
          <w:p w14:paraId="76802EAC" w14:textId="0862EC63" w:rsidR="000D5627" w:rsidRPr="004D1BC9" w:rsidRDefault="004D1BC9"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4D1BC9">
              <w:rPr>
                <w:rFonts w:ascii="Times New Roman" w:hAnsi="Times New Roman" w:cs="Times New Roman"/>
                <w:sz w:val="24"/>
                <w:szCs w:val="24"/>
              </w:rPr>
              <w:t>Protection based on formal evidentiary instruments</w:t>
            </w:r>
          </w:p>
        </w:tc>
        <w:tc>
          <w:tcPr>
            <w:tcW w:w="3021" w:type="dxa"/>
          </w:tcPr>
          <w:p w14:paraId="2E8B67A2" w14:textId="40BB9029" w:rsidR="000D5627" w:rsidRPr="004D1BC9" w:rsidRDefault="000D5627"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4D1BC9">
              <w:rPr>
                <w:rFonts w:ascii="Times New Roman" w:hAnsi="Times New Roman" w:cs="Times New Roman"/>
                <w:sz w:val="24"/>
                <w:szCs w:val="24"/>
              </w:rPr>
              <w:t>Formal evidence becomes effective only when communities understand the meaning, function, and legal consequences of registration</w:t>
            </w:r>
          </w:p>
        </w:tc>
      </w:tr>
      <w:tr w:rsidR="000D5627" w:rsidRPr="004D1BC9" w14:paraId="6D143526" w14:textId="77777777" w:rsidTr="000D5627">
        <w:tc>
          <w:tcPr>
            <w:tcW w:w="1555" w:type="dxa"/>
          </w:tcPr>
          <w:p w14:paraId="2AE189AD" w14:textId="0F1E6447" w:rsidR="000D5627" w:rsidRPr="004D1BC9" w:rsidRDefault="004D1BC9"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4D1BC9">
              <w:rPr>
                <w:rFonts w:ascii="Times New Roman" w:hAnsi="Times New Roman" w:cs="Times New Roman"/>
                <w:sz w:val="24"/>
                <w:szCs w:val="24"/>
              </w:rPr>
              <w:t>Article 6 UUPA</w:t>
            </w:r>
          </w:p>
        </w:tc>
        <w:tc>
          <w:tcPr>
            <w:tcW w:w="2409" w:type="dxa"/>
          </w:tcPr>
          <w:p w14:paraId="296B73B6" w14:textId="22472160" w:rsidR="000D5627" w:rsidRPr="004D1BC9" w:rsidRDefault="004D1BC9"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4D1BC9">
              <w:rPr>
                <w:rFonts w:ascii="Times New Roman" w:hAnsi="Times New Roman" w:cs="Times New Roman"/>
                <w:sz w:val="24"/>
                <w:szCs w:val="24"/>
              </w:rPr>
              <w:t>All land rights carry a social function</w:t>
            </w:r>
          </w:p>
        </w:tc>
        <w:tc>
          <w:tcPr>
            <w:tcW w:w="2410" w:type="dxa"/>
          </w:tcPr>
          <w:p w14:paraId="1A42D9FF" w14:textId="2F66A747" w:rsidR="000D5627" w:rsidRPr="004D1BC9" w:rsidRDefault="004D1BC9"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4D1BC9">
              <w:rPr>
                <w:rFonts w:ascii="Times New Roman" w:hAnsi="Times New Roman" w:cs="Times New Roman"/>
                <w:sz w:val="24"/>
                <w:szCs w:val="24"/>
              </w:rPr>
              <w:t>Declarative–normative social function</w:t>
            </w:r>
          </w:p>
        </w:tc>
        <w:tc>
          <w:tcPr>
            <w:tcW w:w="3021" w:type="dxa"/>
          </w:tcPr>
          <w:p w14:paraId="11B1CD0D" w14:textId="7C4F2CD9" w:rsidR="000D5627" w:rsidRPr="004D1BC9" w:rsidRDefault="000D5627"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4D1BC9">
              <w:rPr>
                <w:rFonts w:ascii="Times New Roman" w:hAnsi="Times New Roman" w:cs="Times New Roman"/>
                <w:sz w:val="24"/>
                <w:szCs w:val="24"/>
              </w:rPr>
              <w:t>The social function of land is reconstructed as a collective responsibility understood through social literacy and legal culture</w:t>
            </w:r>
          </w:p>
        </w:tc>
      </w:tr>
      <w:tr w:rsidR="000D5627" w:rsidRPr="004D1BC9" w14:paraId="753036CB" w14:textId="77777777" w:rsidTr="000D5627">
        <w:tc>
          <w:tcPr>
            <w:tcW w:w="1555" w:type="dxa"/>
          </w:tcPr>
          <w:p w14:paraId="7DEE49BB" w14:textId="3662A39C" w:rsidR="000D5627" w:rsidRPr="004D1BC9" w:rsidRDefault="004D1BC9"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4D1BC9">
              <w:rPr>
                <w:rFonts w:ascii="Times New Roman" w:hAnsi="Times New Roman" w:cs="Times New Roman"/>
                <w:sz w:val="24"/>
                <w:szCs w:val="24"/>
              </w:rPr>
              <w:t>Article 19 UUPA</w:t>
            </w:r>
          </w:p>
        </w:tc>
        <w:tc>
          <w:tcPr>
            <w:tcW w:w="2409" w:type="dxa"/>
          </w:tcPr>
          <w:p w14:paraId="398F8BBC" w14:textId="5AF47F74" w:rsidR="000D5627" w:rsidRPr="004D1BC9" w:rsidRDefault="004D1BC9"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4D1BC9">
              <w:rPr>
                <w:rFonts w:ascii="Times New Roman" w:hAnsi="Times New Roman" w:cs="Times New Roman"/>
                <w:sz w:val="24"/>
                <w:szCs w:val="24"/>
              </w:rPr>
              <w:t>The government conducts land registration to ensure legal certainty</w:t>
            </w:r>
          </w:p>
        </w:tc>
        <w:tc>
          <w:tcPr>
            <w:tcW w:w="2410" w:type="dxa"/>
          </w:tcPr>
          <w:p w14:paraId="52F08E6D" w14:textId="3AD16C95" w:rsidR="000D5627" w:rsidRPr="004D1BC9" w:rsidRDefault="004D1BC9"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4D1BC9">
              <w:rPr>
                <w:rFonts w:ascii="Times New Roman" w:hAnsi="Times New Roman" w:cs="Times New Roman"/>
                <w:sz w:val="24"/>
                <w:szCs w:val="24"/>
              </w:rPr>
              <w:t>The state as the primary actor of protection</w:t>
            </w:r>
          </w:p>
        </w:tc>
        <w:tc>
          <w:tcPr>
            <w:tcW w:w="3021" w:type="dxa"/>
          </w:tcPr>
          <w:p w14:paraId="7194D159" w14:textId="628F9B39" w:rsidR="000D5627" w:rsidRPr="004D1BC9" w:rsidRDefault="000D5627" w:rsidP="000D562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4D1BC9">
              <w:rPr>
                <w:rFonts w:ascii="Times New Roman" w:hAnsi="Times New Roman" w:cs="Times New Roman"/>
                <w:sz w:val="24"/>
                <w:szCs w:val="24"/>
              </w:rPr>
              <w:t>Protection of ownership rights is collaborative between the state and society through legal literacy empowerment</w:t>
            </w:r>
          </w:p>
        </w:tc>
      </w:tr>
    </w:tbl>
    <w:p w14:paraId="4E7EB526" w14:textId="1984C5EC" w:rsidR="000D5627" w:rsidRDefault="000D5627" w:rsidP="000D5627">
      <w:pPr>
        <w:pStyle w:val="ListParagraph"/>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Times New Roman" w:hAnsi="Times New Roman" w:cs="Times New Roman"/>
          <w:sz w:val="24"/>
          <w:szCs w:val="24"/>
        </w:rPr>
      </w:pPr>
      <w:r w:rsidRPr="000D5627">
        <w:rPr>
          <w:rFonts w:ascii="Times New Roman" w:hAnsi="Times New Roman" w:cs="Times New Roman"/>
          <w:sz w:val="24"/>
          <w:szCs w:val="24"/>
        </w:rPr>
        <w:t>Source: Processed data, 2026</w:t>
      </w:r>
      <w:r w:rsidRPr="000D5627">
        <w:rPr>
          <w:rFonts w:ascii="Times New Roman" w:hAnsi="Times New Roman" w:cs="Times New Roman"/>
          <w:sz w:val="24"/>
          <w:szCs w:val="24"/>
        </w:rPr>
        <w:t>.</w:t>
      </w:r>
    </w:p>
    <w:p w14:paraId="6167D682" w14:textId="77777777" w:rsidR="004D1BC9" w:rsidRDefault="004D1BC9" w:rsidP="004D1BC9">
      <w:pPr>
        <w:pStyle w:val="NormalWeb"/>
        <w:spacing w:before="0" w:beforeAutospacing="0" w:after="0" w:afterAutospacing="0"/>
        <w:ind w:left="567"/>
        <w:jc w:val="both"/>
      </w:pPr>
      <w:r>
        <w:t>Through normative analysis of the UUPA and its implementing regulations, this research finds that legal protection of ownership rights is predominantly understood as an issue of formal legality, rather than as a living social relationship within society. In reality, land ownership is not solely juridical in nature, but also encompasses social, economic, and cultural dimensions. This imbalance in understanding constitutes a key factor behind the persistence of agrarian conflicts, ownership disputes, and dispossession, despite the existence of a regulatory framework.</w:t>
      </w:r>
    </w:p>
    <w:p w14:paraId="05AA36BB" w14:textId="08A5F2FF" w:rsidR="004D1BC9" w:rsidRDefault="004D1BC9" w:rsidP="004D1BC9">
      <w:pPr>
        <w:pStyle w:val="NormalWeb"/>
        <w:spacing w:before="0" w:beforeAutospacing="0" w:after="0" w:afterAutospacing="0"/>
        <w:ind w:left="567"/>
        <w:jc w:val="both"/>
      </w:pPr>
      <w:r>
        <w:t>The study further reveals a conceptual gap between a state-</w:t>
      </w:r>
      <w:proofErr w:type="spellStart"/>
      <w:r>
        <w:t>centered</w:t>
      </w:r>
      <w:proofErr w:type="spellEnd"/>
      <w:r>
        <w:t xml:space="preserve"> property law design and the realities faced by communities, including limited legal understanding, low agrarian literacy, and weak bargaining positions within power relations over land. These conceptual findings reinforce the argument that protection of ownership rights cannot be viewed merely as a product of positive legal norms, but must be understood as a social process requiring community empowerment instruments.</w:t>
      </w:r>
    </w:p>
    <w:p w14:paraId="15A9C069" w14:textId="77777777" w:rsidR="004D1BC9" w:rsidRPr="000D5627" w:rsidRDefault="004D1BC9" w:rsidP="004D1BC9">
      <w:pPr>
        <w:pStyle w:val="ListParagraph"/>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s="Times New Roman"/>
          <w:sz w:val="24"/>
          <w:szCs w:val="24"/>
        </w:rPr>
      </w:pPr>
    </w:p>
    <w:p w14:paraId="4A6761BC" w14:textId="77777777" w:rsidR="004D1BC9" w:rsidRPr="004D1BC9" w:rsidRDefault="004D1BC9" w:rsidP="004D1BC9">
      <w:pPr>
        <w:pStyle w:val="ListParagraph"/>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rFonts w:ascii="Times New Roman" w:eastAsia="Times New Roman" w:hAnsi="Times New Roman" w:cs="Times New Roman"/>
          <w:b/>
          <w:bCs/>
          <w:color w:val="1F1F1F"/>
          <w:sz w:val="24"/>
          <w:szCs w:val="24"/>
          <w:shd w:val="clear" w:color="auto" w:fill="F8F9FA"/>
        </w:rPr>
      </w:pPr>
      <w:r w:rsidRPr="004D1BC9">
        <w:rPr>
          <w:rFonts w:ascii="Times New Roman" w:hAnsi="Times New Roman" w:cs="Times New Roman"/>
          <w:b/>
          <w:bCs/>
          <w:sz w:val="24"/>
          <w:szCs w:val="24"/>
        </w:rPr>
        <w:t>Social Literacy as a Protective Instrument in Property Law</w:t>
      </w:r>
    </w:p>
    <w:p w14:paraId="09F2D78A" w14:textId="77777777" w:rsidR="004D1BC9" w:rsidRDefault="004D1BC9" w:rsidP="004D1BC9">
      <w:pPr>
        <w:pStyle w:val="ListParagraph"/>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eastAsia="Times New Roman" w:hAnsi="Times New Roman" w:cs="Times New Roman"/>
          <w:sz w:val="24"/>
          <w:szCs w:val="24"/>
          <w:lang w:val="en-ID"/>
        </w:rPr>
      </w:pPr>
      <w:r w:rsidRPr="004D1BC9">
        <w:rPr>
          <w:rFonts w:ascii="Times New Roman" w:eastAsia="Times New Roman" w:hAnsi="Times New Roman" w:cs="Times New Roman"/>
          <w:sz w:val="24"/>
          <w:szCs w:val="24"/>
          <w:lang w:val="en-ID"/>
        </w:rPr>
        <w:lastRenderedPageBreak/>
        <w:t>The synthesis of literature demonstrates a strong conceptual correlation between social literacy, legal literacy, and the effectiveness of ownership rights protection. In this study, social literacy is not narrowly defined as the ability to read legal regulations, but rather as the collective capacity of communities to understand, interpret, and utilize property law within their social lives.</w:t>
      </w:r>
    </w:p>
    <w:p w14:paraId="69A7BB93" w14:textId="77777777" w:rsidR="004D1BC9" w:rsidRDefault="004D1BC9" w:rsidP="004D1BC9">
      <w:pPr>
        <w:pStyle w:val="ListParagraph"/>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eastAsia="Times New Roman" w:hAnsi="Times New Roman" w:cs="Times New Roman"/>
          <w:sz w:val="24"/>
          <w:szCs w:val="24"/>
          <w:lang w:val="en-ID"/>
        </w:rPr>
      </w:pPr>
      <w:r w:rsidRPr="004D1BC9">
        <w:rPr>
          <w:rFonts w:ascii="Times New Roman" w:eastAsia="Times New Roman" w:hAnsi="Times New Roman" w:cs="Times New Roman"/>
          <w:sz w:val="24"/>
          <w:szCs w:val="24"/>
          <w:lang w:val="en-ID"/>
        </w:rPr>
        <w:t>Theoretical studies indicate that low levels of agrarian legal literacy place communities in vulnerable positions, exposing them to administrative manipulation, land brokerage practices, horizontal conflicts, and structural injustices in land control. Accordingly, social literacy functions as a preventive protective mechanism, rather than merely a complement to repressive law enforcement.</w:t>
      </w:r>
    </w:p>
    <w:p w14:paraId="48056FC5" w14:textId="6C0A7E9A" w:rsidR="004D1BC9" w:rsidRPr="004D1BC9" w:rsidRDefault="004D1BC9" w:rsidP="004D1BC9">
      <w:pPr>
        <w:pStyle w:val="ListParagraph"/>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eastAsia="Times New Roman" w:hAnsi="Times New Roman" w:cs="Times New Roman"/>
          <w:b/>
          <w:bCs/>
          <w:color w:val="1F1F1F"/>
          <w:sz w:val="24"/>
          <w:szCs w:val="24"/>
          <w:shd w:val="clear" w:color="auto" w:fill="F8F9FA"/>
        </w:rPr>
      </w:pPr>
      <w:r w:rsidRPr="004D1BC9">
        <w:rPr>
          <w:rFonts w:ascii="Times New Roman" w:eastAsia="Times New Roman" w:hAnsi="Times New Roman" w:cs="Times New Roman"/>
          <w:sz w:val="24"/>
          <w:szCs w:val="24"/>
          <w:lang w:val="en-ID"/>
        </w:rPr>
        <w:t xml:space="preserve">From the perspective of legal protection theory, social literacy may be positioned as a </w:t>
      </w:r>
      <w:r w:rsidRPr="004D1BC9">
        <w:rPr>
          <w:rFonts w:ascii="Times New Roman" w:eastAsia="Times New Roman" w:hAnsi="Times New Roman" w:cs="Times New Roman"/>
          <w:i/>
          <w:iCs/>
          <w:sz w:val="24"/>
          <w:szCs w:val="24"/>
          <w:lang w:val="en-ID"/>
        </w:rPr>
        <w:t>first layer of protection</w:t>
      </w:r>
      <w:r w:rsidRPr="004D1BC9">
        <w:rPr>
          <w:rFonts w:ascii="Times New Roman" w:eastAsia="Times New Roman" w:hAnsi="Times New Roman" w:cs="Times New Roman"/>
          <w:sz w:val="24"/>
          <w:szCs w:val="24"/>
          <w:lang w:val="en-ID"/>
        </w:rPr>
        <w:t xml:space="preserve"> operating prior to litigation and non-litigation mechanisms. This study confirms that communities with adequate levels of property law literacy tend to demonstrate stronger capacities to:</w:t>
      </w:r>
    </w:p>
    <w:p w14:paraId="139DC165" w14:textId="00B101BF" w:rsidR="004D1BC9" w:rsidRPr="004D1BC9" w:rsidRDefault="004D1BC9" w:rsidP="004D1BC9">
      <w:pPr>
        <w:numPr>
          <w:ilvl w:val="0"/>
          <w:numId w:val="4"/>
        </w:numPr>
        <w:tabs>
          <w:tab w:val="clear" w:pos="720"/>
          <w:tab w:val="num" w:pos="851"/>
        </w:tabs>
        <w:spacing w:after="0" w:line="240" w:lineRule="auto"/>
        <w:ind w:left="851" w:hanging="284"/>
        <w:rPr>
          <w:rFonts w:ascii="Times New Roman" w:eastAsia="Times New Roman" w:hAnsi="Times New Roman" w:cs="Times New Roman"/>
          <w:sz w:val="24"/>
          <w:szCs w:val="24"/>
          <w:lang w:val="en-ID"/>
        </w:rPr>
      </w:pPr>
      <w:r w:rsidRPr="004D1BC9">
        <w:rPr>
          <w:rFonts w:ascii="Times New Roman" w:eastAsia="Times New Roman" w:hAnsi="Times New Roman" w:cs="Times New Roman"/>
          <w:sz w:val="24"/>
          <w:szCs w:val="24"/>
          <w:lang w:val="en-ID"/>
        </w:rPr>
        <w:t>Identify the legal status and boundaries of their ownership rights;</w:t>
      </w:r>
    </w:p>
    <w:p w14:paraId="2610F797" w14:textId="10F15B89" w:rsidR="004D1BC9" w:rsidRPr="004D1BC9" w:rsidRDefault="004D1BC9" w:rsidP="004D1BC9">
      <w:pPr>
        <w:numPr>
          <w:ilvl w:val="0"/>
          <w:numId w:val="4"/>
        </w:numPr>
        <w:tabs>
          <w:tab w:val="clear" w:pos="720"/>
          <w:tab w:val="num" w:pos="851"/>
        </w:tabs>
        <w:spacing w:after="0" w:line="240" w:lineRule="auto"/>
        <w:ind w:left="851" w:hanging="284"/>
        <w:rPr>
          <w:rFonts w:ascii="Times New Roman" w:eastAsia="Times New Roman" w:hAnsi="Times New Roman" w:cs="Times New Roman"/>
          <w:sz w:val="24"/>
          <w:szCs w:val="24"/>
          <w:lang w:val="en-ID"/>
        </w:rPr>
      </w:pPr>
      <w:r w:rsidRPr="004D1BC9">
        <w:rPr>
          <w:rFonts w:ascii="Times New Roman" w:eastAsia="Times New Roman" w:hAnsi="Times New Roman" w:cs="Times New Roman"/>
          <w:sz w:val="24"/>
          <w:szCs w:val="24"/>
          <w:lang w:val="en-ID"/>
        </w:rPr>
        <w:t>Prevent disputes at an early stage;</w:t>
      </w:r>
    </w:p>
    <w:p w14:paraId="73F722A9" w14:textId="45DE088A" w:rsidR="004D1BC9" w:rsidRPr="004D1BC9" w:rsidRDefault="004D1BC9" w:rsidP="004D1BC9">
      <w:pPr>
        <w:numPr>
          <w:ilvl w:val="0"/>
          <w:numId w:val="4"/>
        </w:numPr>
        <w:tabs>
          <w:tab w:val="clear" w:pos="720"/>
          <w:tab w:val="num" w:pos="851"/>
        </w:tabs>
        <w:spacing w:after="0" w:line="240" w:lineRule="auto"/>
        <w:ind w:left="851" w:hanging="284"/>
        <w:rPr>
          <w:rFonts w:ascii="Times New Roman" w:eastAsia="Times New Roman" w:hAnsi="Times New Roman" w:cs="Times New Roman"/>
          <w:sz w:val="24"/>
          <w:szCs w:val="24"/>
          <w:lang w:val="en-ID"/>
        </w:rPr>
      </w:pPr>
      <w:r w:rsidRPr="004D1BC9">
        <w:rPr>
          <w:rFonts w:ascii="Times New Roman" w:eastAsia="Times New Roman" w:hAnsi="Times New Roman" w:cs="Times New Roman"/>
          <w:sz w:val="24"/>
          <w:szCs w:val="24"/>
          <w:lang w:val="en-ID"/>
        </w:rPr>
        <w:t>Access legal institutions appropriately; and</w:t>
      </w:r>
    </w:p>
    <w:p w14:paraId="6AF9A02F" w14:textId="30237F8B" w:rsidR="004D1BC9" w:rsidRPr="004D1BC9" w:rsidRDefault="004D1BC9" w:rsidP="004D1BC9">
      <w:pPr>
        <w:numPr>
          <w:ilvl w:val="0"/>
          <w:numId w:val="4"/>
        </w:numPr>
        <w:tabs>
          <w:tab w:val="clear" w:pos="720"/>
          <w:tab w:val="num" w:pos="851"/>
        </w:tabs>
        <w:spacing w:after="0" w:line="240" w:lineRule="auto"/>
        <w:ind w:left="851" w:hanging="284"/>
        <w:rPr>
          <w:rFonts w:ascii="Times New Roman" w:eastAsia="Times New Roman" w:hAnsi="Times New Roman" w:cs="Times New Roman"/>
          <w:sz w:val="24"/>
          <w:szCs w:val="24"/>
          <w:lang w:val="en-ID"/>
        </w:rPr>
      </w:pPr>
      <w:r w:rsidRPr="004D1BC9">
        <w:rPr>
          <w:rFonts w:ascii="Times New Roman" w:eastAsia="Times New Roman" w:hAnsi="Times New Roman" w:cs="Times New Roman"/>
          <w:sz w:val="24"/>
          <w:szCs w:val="24"/>
          <w:lang w:val="en-ID"/>
        </w:rPr>
        <w:t>Defend their rights in a lawful and dignified manner.</w:t>
      </w:r>
    </w:p>
    <w:p w14:paraId="764FBBB8" w14:textId="446B28F1" w:rsidR="004D1BC9" w:rsidRPr="004D1BC9" w:rsidRDefault="004D1BC9" w:rsidP="004D1BC9">
      <w:pPr>
        <w:spacing w:after="0" w:line="240" w:lineRule="auto"/>
        <w:ind w:left="567" w:firstLine="426"/>
        <w:rPr>
          <w:rFonts w:ascii="Times New Roman" w:eastAsia="Times New Roman" w:hAnsi="Times New Roman" w:cs="Times New Roman"/>
          <w:sz w:val="24"/>
          <w:szCs w:val="24"/>
          <w:lang w:val="en-ID"/>
        </w:rPr>
      </w:pPr>
      <w:r w:rsidRPr="004D1BC9">
        <w:rPr>
          <w:rFonts w:ascii="Times New Roman" w:eastAsia="Times New Roman" w:hAnsi="Times New Roman" w:cs="Times New Roman"/>
          <w:sz w:val="24"/>
          <w:szCs w:val="24"/>
          <w:lang w:val="en-ID"/>
        </w:rPr>
        <w:t>Thus, social literacy is not merely an issue of legal education, but an integral component of the ownership rights protection system itself.</w:t>
      </w:r>
    </w:p>
    <w:p w14:paraId="6526B689" w14:textId="77777777" w:rsidR="00724D24" w:rsidRPr="00724D24" w:rsidRDefault="00724D24" w:rsidP="00724D24">
      <w:pPr>
        <w:pStyle w:val="ListParagraph"/>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rFonts w:ascii="Times New Roman" w:eastAsia="Times New Roman" w:hAnsi="Times New Roman" w:cs="Times New Roman"/>
          <w:b/>
          <w:bCs/>
          <w:color w:val="1F1F1F"/>
          <w:sz w:val="24"/>
          <w:szCs w:val="24"/>
          <w:shd w:val="clear" w:color="auto" w:fill="F8F9FA"/>
        </w:rPr>
      </w:pPr>
      <w:r w:rsidRPr="00724D24">
        <w:rPr>
          <w:rFonts w:ascii="Times New Roman" w:hAnsi="Times New Roman" w:cs="Times New Roman"/>
          <w:b/>
          <w:bCs/>
          <w:sz w:val="24"/>
          <w:szCs w:val="24"/>
        </w:rPr>
        <w:t>Integration of Agrarian Law, Social Literacy, and Legal Culture in an Integrative Theoretical Model</w:t>
      </w:r>
    </w:p>
    <w:p w14:paraId="1E229975" w14:textId="313BFB5C" w:rsidR="00724D24" w:rsidRPr="00724D24" w:rsidRDefault="00724D24" w:rsidP="00724D24">
      <w:pPr>
        <w:pStyle w:val="ListParagraph"/>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eastAsia="Times New Roman" w:hAnsi="Times New Roman" w:cs="Times New Roman"/>
          <w:b/>
          <w:bCs/>
          <w:color w:val="1F1F1F"/>
          <w:sz w:val="24"/>
          <w:szCs w:val="24"/>
          <w:shd w:val="clear" w:color="auto" w:fill="F8F9FA"/>
        </w:rPr>
      </w:pPr>
      <w:r w:rsidRPr="00724D24">
        <w:rPr>
          <w:rFonts w:ascii="Times New Roman" w:hAnsi="Times New Roman" w:cs="Times New Roman"/>
          <w:sz w:val="24"/>
          <w:szCs w:val="24"/>
        </w:rPr>
        <w:t>Based on conceptual analysis and comparative literature review, this research formulates an integrative theoretical model of property law and social literacy. The model is constructed through the integration of three main pillars:</w:t>
      </w:r>
    </w:p>
    <w:p w14:paraId="3065E13E" w14:textId="77777777" w:rsidR="00724D24" w:rsidRPr="00724D24" w:rsidRDefault="00724D24" w:rsidP="00724D24">
      <w:pPr>
        <w:pStyle w:val="NormalWeb"/>
        <w:numPr>
          <w:ilvl w:val="0"/>
          <w:numId w:val="5"/>
        </w:numPr>
        <w:tabs>
          <w:tab w:val="clear" w:pos="720"/>
          <w:tab w:val="num" w:pos="851"/>
        </w:tabs>
        <w:spacing w:before="0" w:beforeAutospacing="0" w:after="0" w:afterAutospacing="0"/>
        <w:ind w:left="851" w:hanging="284"/>
      </w:pPr>
      <w:r w:rsidRPr="00724D24">
        <w:rPr>
          <w:rStyle w:val="Strong"/>
          <w:b w:val="0"/>
          <w:bCs w:val="0"/>
        </w:rPr>
        <w:t>Agrarian Law (Legal Structure and Substance)</w:t>
      </w:r>
      <w:r w:rsidRPr="00724D24">
        <w:br/>
        <w:t>This pillar encompasses positive legal norms, principles, and policies governing ownership rights, including the social function of land, legal certainty, and agrarian justice.</w:t>
      </w:r>
    </w:p>
    <w:p w14:paraId="4F7EC2CB" w14:textId="77777777" w:rsidR="00724D24" w:rsidRPr="00724D24" w:rsidRDefault="00724D24" w:rsidP="00724D24">
      <w:pPr>
        <w:pStyle w:val="NormalWeb"/>
        <w:numPr>
          <w:ilvl w:val="0"/>
          <w:numId w:val="5"/>
        </w:numPr>
        <w:tabs>
          <w:tab w:val="clear" w:pos="720"/>
          <w:tab w:val="num" w:pos="851"/>
        </w:tabs>
        <w:spacing w:before="0" w:beforeAutospacing="0" w:after="0" w:afterAutospacing="0"/>
        <w:ind w:left="851" w:hanging="284"/>
      </w:pPr>
      <w:r w:rsidRPr="00724D24">
        <w:rPr>
          <w:rStyle w:val="Strong"/>
          <w:b w:val="0"/>
          <w:bCs w:val="0"/>
        </w:rPr>
        <w:t>Socio-Legal Literacy (Legal Empowerment Dimension)</w:t>
      </w:r>
      <w:r w:rsidRPr="00724D24">
        <w:br/>
        <w:t xml:space="preserve">This </w:t>
      </w:r>
      <w:proofErr w:type="gramStart"/>
      <w:r w:rsidRPr="00724D24">
        <w:t>pillar</w:t>
      </w:r>
      <w:proofErr w:type="gramEnd"/>
      <w:r w:rsidRPr="00724D24">
        <w:t xml:space="preserve"> positions community legal literacy as an empowerment instrument that enables property law to operate effectively within social practice.</w:t>
      </w:r>
    </w:p>
    <w:p w14:paraId="4D03B339" w14:textId="77777777" w:rsidR="00724D24" w:rsidRPr="00724D24" w:rsidRDefault="00724D24" w:rsidP="00724D24">
      <w:pPr>
        <w:pStyle w:val="NormalWeb"/>
        <w:numPr>
          <w:ilvl w:val="0"/>
          <w:numId w:val="5"/>
        </w:numPr>
        <w:tabs>
          <w:tab w:val="clear" w:pos="720"/>
          <w:tab w:val="num" w:pos="851"/>
        </w:tabs>
        <w:spacing w:before="0" w:beforeAutospacing="0" w:after="0" w:afterAutospacing="0"/>
        <w:ind w:left="851" w:hanging="284"/>
      </w:pPr>
      <w:r w:rsidRPr="00724D24">
        <w:rPr>
          <w:rStyle w:val="Strong"/>
          <w:b w:val="0"/>
          <w:bCs w:val="0"/>
        </w:rPr>
        <w:t>Legal Culture (Legal Culture Dimension)</w:t>
      </w:r>
      <w:r w:rsidRPr="00724D24">
        <w:br/>
        <w:t>This pillar emphasizes that the meaning of ownership rights is shaped by societal values, customs, and legal consciousness, rendering law inseparable from its socio-cultural context.</w:t>
      </w:r>
    </w:p>
    <w:p w14:paraId="16ECAA2A" w14:textId="4644B8D9" w:rsidR="00724D24" w:rsidRPr="00724D24" w:rsidRDefault="00724D24" w:rsidP="00724D24">
      <w:pPr>
        <w:pStyle w:val="NormalWeb"/>
        <w:spacing w:before="0" w:beforeAutospacing="0" w:after="0" w:afterAutospacing="0"/>
        <w:ind w:left="567" w:firstLine="426"/>
      </w:pPr>
      <w:r w:rsidRPr="00724D24">
        <w:t>The synthesis indicates that these three pillars have traditionally operated in isolation, resulting in partial and unsustainable protection of ownership rights. The integrative model developed in this study places social literacy as a conceptual bridge between normative law and social practice, ensuring that ownership protection is not only legal-formal in nature, but also substantive and transformative.</w:t>
      </w:r>
    </w:p>
    <w:p w14:paraId="61FCBACC" w14:textId="77777777" w:rsidR="00724D24" w:rsidRPr="00724D24" w:rsidRDefault="00724D24" w:rsidP="00724D24">
      <w:pPr>
        <w:pStyle w:val="ListParagraph"/>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rStyle w:val="Strong"/>
          <w:rFonts w:ascii="Times New Roman" w:eastAsia="Times New Roman" w:hAnsi="Times New Roman" w:cs="Times New Roman"/>
          <w:color w:val="1F1F1F"/>
          <w:sz w:val="24"/>
          <w:szCs w:val="24"/>
          <w:shd w:val="clear" w:color="auto" w:fill="F8F9FA"/>
        </w:rPr>
      </w:pPr>
      <w:r w:rsidRPr="00724D24">
        <w:rPr>
          <w:rStyle w:val="Strong"/>
          <w:rFonts w:ascii="Times New Roman" w:hAnsi="Times New Roman" w:cs="Times New Roman"/>
          <w:sz w:val="24"/>
          <w:szCs w:val="24"/>
        </w:rPr>
        <w:t>Theoretical and Normative Implications of the Integrative Model</w:t>
      </w:r>
    </w:p>
    <w:p w14:paraId="2358CFA4" w14:textId="77777777" w:rsidR="00724D24" w:rsidRPr="00724D24" w:rsidRDefault="00724D24" w:rsidP="00724D24">
      <w:pPr>
        <w:pStyle w:val="ListParagraph"/>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hAnsi="Times New Roman" w:cs="Times New Roman"/>
          <w:sz w:val="24"/>
          <w:szCs w:val="24"/>
        </w:rPr>
      </w:pPr>
      <w:r w:rsidRPr="00724D24">
        <w:rPr>
          <w:rFonts w:ascii="Times New Roman" w:hAnsi="Times New Roman" w:cs="Times New Roman"/>
          <w:sz w:val="24"/>
          <w:szCs w:val="24"/>
        </w:rPr>
        <w:t>Theoretically, the findings of this research broaden the understanding of property law from a legalistic approach toward an integrative</w:t>
      </w:r>
      <w:r w:rsidRPr="00724D24">
        <w:rPr>
          <w:rFonts w:ascii="Times New Roman" w:hAnsi="Times New Roman" w:cs="Times New Roman"/>
          <w:sz w:val="24"/>
          <w:szCs w:val="24"/>
        </w:rPr>
        <w:t xml:space="preserve"> </w:t>
      </w:r>
      <w:r w:rsidRPr="00724D24">
        <w:rPr>
          <w:rFonts w:ascii="Times New Roman" w:hAnsi="Times New Roman" w:cs="Times New Roman"/>
          <w:sz w:val="24"/>
          <w:szCs w:val="24"/>
        </w:rPr>
        <w:t>social perspective. Ownership rights are no longer perceived merely as a subject</w:t>
      </w:r>
      <w:r w:rsidRPr="00724D24">
        <w:rPr>
          <w:rFonts w:ascii="Times New Roman" w:hAnsi="Times New Roman" w:cs="Times New Roman"/>
          <w:sz w:val="24"/>
          <w:szCs w:val="24"/>
        </w:rPr>
        <w:t xml:space="preserve"> </w:t>
      </w:r>
      <w:r w:rsidRPr="00724D24">
        <w:rPr>
          <w:rFonts w:ascii="Times New Roman" w:hAnsi="Times New Roman" w:cs="Times New Roman"/>
          <w:sz w:val="24"/>
          <w:szCs w:val="24"/>
        </w:rPr>
        <w:t>object relationship guaranteed by the state, but as a legal–social relationship requiring active community participation through legal literacy.</w:t>
      </w:r>
    </w:p>
    <w:p w14:paraId="4A3C6F0B" w14:textId="51722741" w:rsidR="00724D24" w:rsidRPr="00724D24" w:rsidRDefault="00724D24" w:rsidP="00724D24">
      <w:pPr>
        <w:pStyle w:val="ListParagraph"/>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eastAsia="Times New Roman" w:hAnsi="Times New Roman" w:cs="Times New Roman"/>
          <w:b/>
          <w:bCs/>
          <w:color w:val="1F1F1F"/>
          <w:sz w:val="24"/>
          <w:szCs w:val="24"/>
          <w:shd w:val="clear" w:color="auto" w:fill="F8F9FA"/>
        </w:rPr>
      </w:pPr>
      <w:r w:rsidRPr="00724D24">
        <w:rPr>
          <w:rFonts w:ascii="Times New Roman" w:hAnsi="Times New Roman" w:cs="Times New Roman"/>
          <w:sz w:val="24"/>
          <w:szCs w:val="24"/>
        </w:rPr>
        <w:t>Normatively, this model provides a conceptual foundation for:</w:t>
      </w:r>
    </w:p>
    <w:p w14:paraId="0B7CCE45" w14:textId="4709AAB5" w:rsidR="00724D24" w:rsidRPr="00724D24" w:rsidRDefault="00724D24" w:rsidP="00724D24">
      <w:pPr>
        <w:pStyle w:val="NormalWeb"/>
        <w:numPr>
          <w:ilvl w:val="0"/>
          <w:numId w:val="7"/>
        </w:numPr>
        <w:tabs>
          <w:tab w:val="clear" w:pos="720"/>
          <w:tab w:val="num" w:pos="851"/>
        </w:tabs>
        <w:spacing w:before="0" w:beforeAutospacing="0" w:after="0" w:afterAutospacing="0"/>
        <w:ind w:left="851" w:hanging="284"/>
      </w:pPr>
      <w:r w:rsidRPr="00724D24">
        <w:t>Strengthening ownership rights protection policies based on community empowerment;</w:t>
      </w:r>
    </w:p>
    <w:p w14:paraId="4E01D54D" w14:textId="291BCC59" w:rsidR="00724D24" w:rsidRPr="00724D24" w:rsidRDefault="00724D24" w:rsidP="00724D24">
      <w:pPr>
        <w:pStyle w:val="NormalWeb"/>
        <w:numPr>
          <w:ilvl w:val="0"/>
          <w:numId w:val="7"/>
        </w:numPr>
        <w:tabs>
          <w:tab w:val="clear" w:pos="720"/>
          <w:tab w:val="num" w:pos="851"/>
        </w:tabs>
        <w:spacing w:before="0" w:beforeAutospacing="0" w:after="0" w:afterAutospacing="0"/>
        <w:ind w:left="851" w:hanging="284"/>
      </w:pPr>
      <w:r w:rsidRPr="00724D24">
        <w:t>Integrating legal literacy programs into th</w:t>
      </w:r>
      <w:r w:rsidRPr="00724D24">
        <w:t>e national land administration system; and</w:t>
      </w:r>
    </w:p>
    <w:p w14:paraId="5A7ADFEF" w14:textId="77777777" w:rsidR="00724D24" w:rsidRPr="00724D24" w:rsidRDefault="00724D24" w:rsidP="00724D24">
      <w:pPr>
        <w:pStyle w:val="NormalWeb"/>
        <w:numPr>
          <w:ilvl w:val="0"/>
          <w:numId w:val="7"/>
        </w:numPr>
        <w:tabs>
          <w:tab w:val="clear" w:pos="720"/>
          <w:tab w:val="num" w:pos="851"/>
        </w:tabs>
        <w:spacing w:before="0" w:beforeAutospacing="0" w:after="0" w:afterAutospacing="0"/>
        <w:ind w:left="851" w:hanging="284"/>
      </w:pPr>
      <w:r w:rsidRPr="00724D24">
        <w:t>Reformulating agrarian dispute resolution approaches to become more preventive and participatory.</w:t>
      </w:r>
    </w:p>
    <w:p w14:paraId="19876D6A" w14:textId="3A5498E8" w:rsidR="00724D24" w:rsidRPr="00724D24" w:rsidRDefault="00724D24" w:rsidP="00724D24">
      <w:pPr>
        <w:pStyle w:val="NormalWeb"/>
        <w:spacing w:before="0" w:beforeAutospacing="0" w:after="0" w:afterAutospacing="0"/>
        <w:ind w:left="567"/>
      </w:pPr>
      <w:r w:rsidRPr="00724D24">
        <w:lastRenderedPageBreak/>
        <w:t>Accordingly, this study affirms that effective protection of ownership rights can only be realized when property law is systematically integrated with social literacy and the legal culture of society.</w:t>
      </w:r>
    </w:p>
    <w:p w14:paraId="54E38646" w14:textId="77777777" w:rsidR="00072C2E" w:rsidRDefault="00072C2E" w:rsidP="00724D2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37A30AF7" w14:textId="77777777" w:rsidR="00072C2E" w:rsidRDefault="00DD7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CONCLUSION</w:t>
      </w:r>
    </w:p>
    <w:p w14:paraId="1794DC84" w14:textId="77777777" w:rsidR="0045259A" w:rsidRDefault="0045259A" w:rsidP="0045259A">
      <w:pPr>
        <w:spacing w:after="0" w:line="240" w:lineRule="auto"/>
        <w:ind w:left="284" w:firstLine="425"/>
        <w:jc w:val="both"/>
        <w:rPr>
          <w:rFonts w:ascii="Times New Roman" w:eastAsia="Times New Roman" w:hAnsi="Times New Roman" w:cs="Times New Roman"/>
          <w:sz w:val="24"/>
          <w:szCs w:val="24"/>
          <w:lang w:val="en-ID"/>
        </w:rPr>
      </w:pPr>
      <w:r w:rsidRPr="0045259A">
        <w:rPr>
          <w:rFonts w:ascii="Times New Roman" w:eastAsia="Times New Roman" w:hAnsi="Times New Roman" w:cs="Times New Roman"/>
          <w:sz w:val="24"/>
          <w:szCs w:val="24"/>
          <w:lang w:val="en-ID"/>
        </w:rPr>
        <w:t>This study concludes that the protection of ownership rights within the Indonesian property law system has not yet been fully effective, as it remains dominated by a normative–formal approach that emphasizes administrative legality and the role of the state as the primary actor, while social dimensions and community capacities have not been systematically integrated. Through a conceptual approach, this research reconstructs the understanding of ownership rights protection as a legal–social relationship that positions social literacy and legal culture as essential protective instruments. The synthesis demonstrates that social literacy functions as a preventive first layer of ownership rights protection, enhances the effectiveness of legal norms, and bridges the gap between positive law and social practice. The integrative theoretical model formulated in this study combines agrarian law, social literacy, and legal culture into a coherent conceptual framework, ensuring that ownership rights protection is not merely legal–formal in nature, but also substantive, participatory, and sustainable. Accordingly, this research affirms that the effectiveness of community ownership rights protection can only be achieved through the integration of legal certainty, empowerment through social literacy, and the strengthening of legal culture within the national property law system.</w:t>
      </w:r>
    </w:p>
    <w:p w14:paraId="5E4372B1" w14:textId="44DC8447" w:rsidR="0045259A" w:rsidRPr="0045259A" w:rsidRDefault="0045259A" w:rsidP="0045259A">
      <w:pPr>
        <w:spacing w:after="0" w:line="240" w:lineRule="auto"/>
        <w:ind w:left="284" w:firstLine="425"/>
        <w:jc w:val="both"/>
        <w:rPr>
          <w:rFonts w:ascii="Times New Roman" w:eastAsia="Times New Roman" w:hAnsi="Times New Roman" w:cs="Times New Roman"/>
          <w:sz w:val="24"/>
          <w:szCs w:val="24"/>
          <w:lang w:val="en-ID"/>
        </w:rPr>
      </w:pPr>
      <w:r w:rsidRPr="0045259A">
        <w:rPr>
          <w:rFonts w:ascii="Times New Roman" w:eastAsia="Times New Roman" w:hAnsi="Times New Roman" w:cs="Times New Roman"/>
          <w:sz w:val="24"/>
          <w:szCs w:val="24"/>
          <w:lang w:val="en-ID"/>
        </w:rPr>
        <w:t>Based on these findings, it is recommended that future development of property law should not focus solely on strengthening legal norms and administrative mechanisms, but should also systematically integrate social literacy as a core component of ownership rights protection strategies. The government and land-related stakeholders should mainstream property law literacy programs within national land administration policies and systems as a preventive measure against disputes. Furthermore, future research is encouraged to test and further develop this integrative theoretical model within the contexts of public policy and legal education, in order to strengthen substantive and sustainable protection of ownership rights.</w:t>
      </w:r>
    </w:p>
    <w:p w14:paraId="641A10BD" w14:textId="77777777" w:rsidR="00072C2E" w:rsidRDefault="00072C2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490"/>
        <w:jc w:val="both"/>
        <w:rPr>
          <w:rFonts w:ascii="Times New Roman" w:eastAsia="Times New Roman" w:hAnsi="Times New Roman" w:cs="Times New Roman"/>
          <w:color w:val="000000"/>
          <w:sz w:val="24"/>
          <w:szCs w:val="24"/>
        </w:rPr>
      </w:pPr>
    </w:p>
    <w:p w14:paraId="57010D5B" w14:textId="77777777" w:rsidR="00072C2E" w:rsidRDefault="00DD7DB7">
      <w:pPr>
        <w:tabs>
          <w:tab w:val="left" w:pos="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ACKNOWLEDGMENTS</w:t>
      </w:r>
    </w:p>
    <w:p w14:paraId="2F685EC6" w14:textId="1E40B85E" w:rsidR="00072C2E" w:rsidRPr="0045259A" w:rsidRDefault="0045259A" w:rsidP="0045259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sz w:val="24"/>
          <w:szCs w:val="24"/>
        </w:rPr>
      </w:pPr>
      <w:r w:rsidRPr="0045259A">
        <w:rPr>
          <w:rFonts w:ascii="Times New Roman" w:hAnsi="Times New Roman" w:cs="Times New Roman"/>
          <w:sz w:val="24"/>
          <w:szCs w:val="24"/>
        </w:rPr>
        <w:t xml:space="preserve">We express our deepest gratitude and appreciation for the joint research collaboration established between Universitas Duta </w:t>
      </w:r>
      <w:proofErr w:type="spellStart"/>
      <w:r w:rsidRPr="0045259A">
        <w:rPr>
          <w:rFonts w:ascii="Times New Roman" w:hAnsi="Times New Roman" w:cs="Times New Roman"/>
          <w:sz w:val="24"/>
          <w:szCs w:val="24"/>
        </w:rPr>
        <w:t>Bangsa</w:t>
      </w:r>
      <w:proofErr w:type="spellEnd"/>
      <w:r w:rsidRPr="0045259A">
        <w:rPr>
          <w:rFonts w:ascii="Times New Roman" w:hAnsi="Times New Roman" w:cs="Times New Roman"/>
          <w:sz w:val="24"/>
          <w:szCs w:val="24"/>
        </w:rPr>
        <w:t xml:space="preserve"> Surakarta, Indonesia, and </w:t>
      </w:r>
      <w:proofErr w:type="spellStart"/>
      <w:r w:rsidRPr="0045259A">
        <w:rPr>
          <w:rFonts w:ascii="Times New Roman" w:hAnsi="Times New Roman" w:cs="Times New Roman"/>
          <w:sz w:val="24"/>
          <w:szCs w:val="24"/>
        </w:rPr>
        <w:t>Universiti</w:t>
      </w:r>
      <w:proofErr w:type="spellEnd"/>
      <w:r w:rsidRPr="0045259A">
        <w:rPr>
          <w:rFonts w:ascii="Times New Roman" w:hAnsi="Times New Roman" w:cs="Times New Roman"/>
          <w:sz w:val="24"/>
          <w:szCs w:val="24"/>
        </w:rPr>
        <w:t xml:space="preserve"> </w:t>
      </w:r>
      <w:proofErr w:type="spellStart"/>
      <w:r w:rsidRPr="0045259A">
        <w:rPr>
          <w:rFonts w:ascii="Times New Roman" w:hAnsi="Times New Roman" w:cs="Times New Roman"/>
          <w:sz w:val="24"/>
          <w:szCs w:val="24"/>
        </w:rPr>
        <w:t>Teknologi</w:t>
      </w:r>
      <w:proofErr w:type="spellEnd"/>
      <w:r w:rsidRPr="0045259A">
        <w:rPr>
          <w:rFonts w:ascii="Times New Roman" w:hAnsi="Times New Roman" w:cs="Times New Roman"/>
          <w:sz w:val="24"/>
          <w:szCs w:val="24"/>
        </w:rPr>
        <w:t xml:space="preserve"> MARA, Malaysia. This collaboration represents a form of cross-national academic synergy that not only enriches scholarly perspectives, but also enhances research quality through the exchange of ideas, methodologies, and experiences. It is our hope that this cooperation will continue and contribute meaningfully to the advancement of knowledge and institutional development at both regional and global levels.</w:t>
      </w:r>
    </w:p>
    <w:p w14:paraId="33EDA778" w14:textId="77777777" w:rsidR="0045259A" w:rsidRDefault="0045259A" w:rsidP="0045259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rPr>
      </w:pPr>
    </w:p>
    <w:p w14:paraId="45518A63" w14:textId="7B94127A" w:rsidR="00072C2E" w:rsidRPr="0045259A" w:rsidRDefault="00DD7DB7" w:rsidP="0045259A">
      <w:pPr>
        <w:tabs>
          <w:tab w:val="left" w:pos="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BIBLIOGRAPHY</w:t>
      </w:r>
    </w:p>
    <w:p w14:paraId="6227E80A" w14:textId="77777777" w:rsidR="0045259A" w:rsidRPr="0045259A" w:rsidRDefault="0045259A" w:rsidP="0045259A">
      <w:pPr>
        <w:pStyle w:val="NormalWeb"/>
        <w:spacing w:before="0" w:beforeAutospacing="0"/>
        <w:ind w:left="916" w:hanging="632"/>
        <w:jc w:val="both"/>
      </w:pPr>
      <w:proofErr w:type="spellStart"/>
      <w:r w:rsidRPr="0045259A">
        <w:t>Ayunanda</w:t>
      </w:r>
      <w:proofErr w:type="spellEnd"/>
      <w:r w:rsidRPr="0045259A">
        <w:t xml:space="preserve">, L., Lidya M, B., </w:t>
      </w:r>
      <w:proofErr w:type="spellStart"/>
      <w:r w:rsidRPr="0045259A">
        <w:t>Intania</w:t>
      </w:r>
      <w:proofErr w:type="spellEnd"/>
      <w:r w:rsidRPr="0045259A">
        <w:t xml:space="preserve"> P, S., &amp; Saputra, D. A. (2024). </w:t>
      </w:r>
      <w:proofErr w:type="spellStart"/>
      <w:r w:rsidRPr="0045259A">
        <w:rPr>
          <w:rStyle w:val="Emphasis"/>
        </w:rPr>
        <w:t>Konsep</w:t>
      </w:r>
      <w:proofErr w:type="spellEnd"/>
      <w:r w:rsidRPr="0045259A">
        <w:rPr>
          <w:rStyle w:val="Emphasis"/>
        </w:rPr>
        <w:t xml:space="preserve"> </w:t>
      </w:r>
      <w:proofErr w:type="spellStart"/>
      <w:r w:rsidRPr="0045259A">
        <w:rPr>
          <w:rStyle w:val="Emphasis"/>
        </w:rPr>
        <w:t>kepemilikan</w:t>
      </w:r>
      <w:proofErr w:type="spellEnd"/>
      <w:r w:rsidRPr="0045259A">
        <w:rPr>
          <w:rStyle w:val="Emphasis"/>
        </w:rPr>
        <w:t xml:space="preserve"> </w:t>
      </w:r>
      <w:proofErr w:type="spellStart"/>
      <w:r w:rsidRPr="0045259A">
        <w:rPr>
          <w:rStyle w:val="Emphasis"/>
        </w:rPr>
        <w:t>hak</w:t>
      </w:r>
      <w:proofErr w:type="spellEnd"/>
      <w:r w:rsidRPr="0045259A">
        <w:rPr>
          <w:rStyle w:val="Emphasis"/>
        </w:rPr>
        <w:t xml:space="preserve"> </w:t>
      </w:r>
      <w:proofErr w:type="spellStart"/>
      <w:r w:rsidRPr="0045259A">
        <w:rPr>
          <w:rStyle w:val="Emphasis"/>
        </w:rPr>
        <w:t>atas</w:t>
      </w:r>
      <w:proofErr w:type="spellEnd"/>
      <w:r w:rsidRPr="0045259A">
        <w:rPr>
          <w:rStyle w:val="Emphasis"/>
        </w:rPr>
        <w:t xml:space="preserve"> </w:t>
      </w:r>
      <w:proofErr w:type="spellStart"/>
      <w:r w:rsidRPr="0045259A">
        <w:rPr>
          <w:rStyle w:val="Emphasis"/>
        </w:rPr>
        <w:t>tanah</w:t>
      </w:r>
      <w:proofErr w:type="spellEnd"/>
      <w:r w:rsidRPr="0045259A">
        <w:rPr>
          <w:rStyle w:val="Emphasis"/>
        </w:rPr>
        <w:t xml:space="preserve"> </w:t>
      </w:r>
      <w:proofErr w:type="spellStart"/>
      <w:r w:rsidRPr="0045259A">
        <w:rPr>
          <w:rStyle w:val="Emphasis"/>
        </w:rPr>
        <w:t>menurut</w:t>
      </w:r>
      <w:proofErr w:type="spellEnd"/>
      <w:r w:rsidRPr="0045259A">
        <w:rPr>
          <w:rStyle w:val="Emphasis"/>
        </w:rPr>
        <w:t xml:space="preserve"> </w:t>
      </w:r>
      <w:proofErr w:type="spellStart"/>
      <w:r w:rsidRPr="0045259A">
        <w:rPr>
          <w:rStyle w:val="Emphasis"/>
        </w:rPr>
        <w:t>perspektif</w:t>
      </w:r>
      <w:proofErr w:type="spellEnd"/>
      <w:r w:rsidRPr="0045259A">
        <w:rPr>
          <w:rStyle w:val="Emphasis"/>
        </w:rPr>
        <w:t xml:space="preserve"> </w:t>
      </w:r>
      <w:proofErr w:type="spellStart"/>
      <w:r w:rsidRPr="0045259A">
        <w:rPr>
          <w:rStyle w:val="Emphasis"/>
        </w:rPr>
        <w:t>hukum</w:t>
      </w:r>
      <w:proofErr w:type="spellEnd"/>
      <w:r w:rsidRPr="0045259A">
        <w:rPr>
          <w:rStyle w:val="Emphasis"/>
        </w:rPr>
        <w:t xml:space="preserve"> </w:t>
      </w:r>
      <w:proofErr w:type="spellStart"/>
      <w:r w:rsidRPr="0045259A">
        <w:rPr>
          <w:rStyle w:val="Emphasis"/>
        </w:rPr>
        <w:t>adat</w:t>
      </w:r>
      <w:proofErr w:type="spellEnd"/>
      <w:r w:rsidRPr="0045259A">
        <w:rPr>
          <w:rStyle w:val="Emphasis"/>
        </w:rPr>
        <w:t xml:space="preserve"> dan </w:t>
      </w:r>
      <w:proofErr w:type="spellStart"/>
      <w:r w:rsidRPr="0045259A">
        <w:rPr>
          <w:rStyle w:val="Emphasis"/>
        </w:rPr>
        <w:t>hukum</w:t>
      </w:r>
      <w:proofErr w:type="spellEnd"/>
      <w:r w:rsidRPr="0045259A">
        <w:rPr>
          <w:rStyle w:val="Emphasis"/>
        </w:rPr>
        <w:t xml:space="preserve"> Islam di Indonesia</w:t>
      </w:r>
      <w:r w:rsidRPr="0045259A">
        <w:t xml:space="preserve">. </w:t>
      </w:r>
      <w:r w:rsidRPr="0045259A">
        <w:rPr>
          <w:rStyle w:val="Strong"/>
          <w:b w:val="0"/>
          <w:bCs w:val="0"/>
        </w:rPr>
        <w:t>Journal Customary Law, 1</w:t>
      </w:r>
      <w:r w:rsidRPr="0045259A">
        <w:t xml:space="preserve">(2), 10. </w:t>
      </w:r>
      <w:hyperlink r:id="rId10" w:history="1">
        <w:r w:rsidRPr="0045259A">
          <w:rPr>
            <w:rStyle w:val="Hyperlink"/>
          </w:rPr>
          <w:t>https://doi.org/10.47134/jcl.v1i2.2457</w:t>
        </w:r>
      </w:hyperlink>
    </w:p>
    <w:p w14:paraId="2FFDA85E" w14:textId="77777777" w:rsidR="0045259A" w:rsidRPr="0045259A" w:rsidRDefault="0045259A" w:rsidP="0045259A">
      <w:pPr>
        <w:pStyle w:val="NormalWeb"/>
        <w:ind w:left="916" w:hanging="632"/>
        <w:jc w:val="both"/>
      </w:pPr>
      <w:r w:rsidRPr="0045259A">
        <w:t xml:space="preserve">Dewi, S. K., Dewi, N., &amp; </w:t>
      </w:r>
      <w:proofErr w:type="spellStart"/>
      <w:r w:rsidRPr="0045259A">
        <w:t>Nurwanti</w:t>
      </w:r>
      <w:proofErr w:type="spellEnd"/>
      <w:r w:rsidRPr="0045259A">
        <w:t xml:space="preserve">, Y. D. (2024). </w:t>
      </w:r>
      <w:r w:rsidRPr="0045259A">
        <w:rPr>
          <w:rStyle w:val="Emphasis"/>
        </w:rPr>
        <w:t xml:space="preserve">Perlindungan </w:t>
      </w:r>
      <w:proofErr w:type="spellStart"/>
      <w:r w:rsidRPr="0045259A">
        <w:rPr>
          <w:rStyle w:val="Emphasis"/>
        </w:rPr>
        <w:t>hukum</w:t>
      </w:r>
      <w:proofErr w:type="spellEnd"/>
      <w:r w:rsidRPr="0045259A">
        <w:rPr>
          <w:rStyle w:val="Emphasis"/>
        </w:rPr>
        <w:t xml:space="preserve"> </w:t>
      </w:r>
      <w:proofErr w:type="spellStart"/>
      <w:r w:rsidRPr="0045259A">
        <w:rPr>
          <w:rStyle w:val="Emphasis"/>
        </w:rPr>
        <w:t>bagi</w:t>
      </w:r>
      <w:proofErr w:type="spellEnd"/>
      <w:r w:rsidRPr="0045259A">
        <w:rPr>
          <w:rStyle w:val="Emphasis"/>
        </w:rPr>
        <w:t xml:space="preserve"> </w:t>
      </w:r>
      <w:proofErr w:type="spellStart"/>
      <w:r w:rsidRPr="0045259A">
        <w:rPr>
          <w:rStyle w:val="Emphasis"/>
        </w:rPr>
        <w:t>pembeli</w:t>
      </w:r>
      <w:proofErr w:type="spellEnd"/>
      <w:r w:rsidRPr="0045259A">
        <w:rPr>
          <w:rStyle w:val="Emphasis"/>
        </w:rPr>
        <w:t xml:space="preserve"> </w:t>
      </w:r>
      <w:proofErr w:type="spellStart"/>
      <w:r w:rsidRPr="0045259A">
        <w:rPr>
          <w:rStyle w:val="Emphasis"/>
        </w:rPr>
        <w:t>tanah</w:t>
      </w:r>
      <w:proofErr w:type="spellEnd"/>
      <w:r w:rsidRPr="0045259A">
        <w:rPr>
          <w:rStyle w:val="Emphasis"/>
        </w:rPr>
        <w:t xml:space="preserve"> yang status </w:t>
      </w:r>
      <w:proofErr w:type="spellStart"/>
      <w:r w:rsidRPr="0045259A">
        <w:rPr>
          <w:rStyle w:val="Emphasis"/>
        </w:rPr>
        <w:t>sertifikat</w:t>
      </w:r>
      <w:proofErr w:type="spellEnd"/>
      <w:r w:rsidRPr="0045259A">
        <w:rPr>
          <w:rStyle w:val="Emphasis"/>
        </w:rPr>
        <w:t xml:space="preserve"> </w:t>
      </w:r>
      <w:proofErr w:type="spellStart"/>
      <w:r w:rsidRPr="0045259A">
        <w:rPr>
          <w:rStyle w:val="Emphasis"/>
        </w:rPr>
        <w:t>tanahnya</w:t>
      </w:r>
      <w:proofErr w:type="spellEnd"/>
      <w:r w:rsidRPr="0045259A">
        <w:rPr>
          <w:rStyle w:val="Emphasis"/>
        </w:rPr>
        <w:t xml:space="preserve"> </w:t>
      </w:r>
      <w:proofErr w:type="spellStart"/>
      <w:r w:rsidRPr="0045259A">
        <w:rPr>
          <w:rStyle w:val="Emphasis"/>
        </w:rPr>
        <w:t>dalam</w:t>
      </w:r>
      <w:proofErr w:type="spellEnd"/>
      <w:r w:rsidRPr="0045259A">
        <w:rPr>
          <w:rStyle w:val="Emphasis"/>
        </w:rPr>
        <w:t xml:space="preserve"> proses </w:t>
      </w:r>
      <w:proofErr w:type="spellStart"/>
      <w:r w:rsidRPr="0045259A">
        <w:rPr>
          <w:rStyle w:val="Emphasis"/>
        </w:rPr>
        <w:t>pemecahan</w:t>
      </w:r>
      <w:proofErr w:type="spellEnd"/>
      <w:r w:rsidRPr="0045259A">
        <w:rPr>
          <w:rStyle w:val="Emphasis"/>
        </w:rPr>
        <w:t xml:space="preserve">: Studi </w:t>
      </w:r>
      <w:proofErr w:type="spellStart"/>
      <w:r w:rsidRPr="0045259A">
        <w:rPr>
          <w:rStyle w:val="Emphasis"/>
        </w:rPr>
        <w:t>kasus</w:t>
      </w:r>
      <w:proofErr w:type="spellEnd"/>
      <w:r w:rsidRPr="0045259A">
        <w:rPr>
          <w:rStyle w:val="Emphasis"/>
        </w:rPr>
        <w:t xml:space="preserve"> di Kantor </w:t>
      </w:r>
      <w:proofErr w:type="spellStart"/>
      <w:r w:rsidRPr="0045259A">
        <w:rPr>
          <w:rStyle w:val="Emphasis"/>
        </w:rPr>
        <w:t>Notaris</w:t>
      </w:r>
      <w:proofErr w:type="spellEnd"/>
      <w:r w:rsidRPr="0045259A">
        <w:rPr>
          <w:rStyle w:val="Emphasis"/>
        </w:rPr>
        <w:t xml:space="preserve">/PPAT Rus </w:t>
      </w:r>
      <w:proofErr w:type="spellStart"/>
      <w:r w:rsidRPr="0045259A">
        <w:rPr>
          <w:rStyle w:val="Emphasis"/>
        </w:rPr>
        <w:t>Utaryono</w:t>
      </w:r>
      <w:proofErr w:type="spellEnd"/>
      <w:r w:rsidRPr="0045259A">
        <w:rPr>
          <w:rStyle w:val="Emphasis"/>
        </w:rPr>
        <w:t xml:space="preserve">, SH, MH </w:t>
      </w:r>
      <w:proofErr w:type="spellStart"/>
      <w:r w:rsidRPr="0045259A">
        <w:rPr>
          <w:rStyle w:val="Emphasis"/>
        </w:rPr>
        <w:t>Kabupaten</w:t>
      </w:r>
      <w:proofErr w:type="spellEnd"/>
      <w:r w:rsidRPr="0045259A">
        <w:rPr>
          <w:rStyle w:val="Emphasis"/>
        </w:rPr>
        <w:t xml:space="preserve"> </w:t>
      </w:r>
      <w:proofErr w:type="spellStart"/>
      <w:r w:rsidRPr="0045259A">
        <w:rPr>
          <w:rStyle w:val="Emphasis"/>
        </w:rPr>
        <w:t>Sragen</w:t>
      </w:r>
      <w:proofErr w:type="spellEnd"/>
      <w:r w:rsidRPr="0045259A">
        <w:t xml:space="preserve">. </w:t>
      </w:r>
      <w:proofErr w:type="spellStart"/>
      <w:r w:rsidRPr="0045259A">
        <w:rPr>
          <w:rStyle w:val="Strong"/>
          <w:b w:val="0"/>
          <w:bCs w:val="0"/>
        </w:rPr>
        <w:t>Jurnal</w:t>
      </w:r>
      <w:proofErr w:type="spellEnd"/>
      <w:r w:rsidRPr="0045259A">
        <w:rPr>
          <w:rStyle w:val="Strong"/>
          <w:b w:val="0"/>
          <w:bCs w:val="0"/>
        </w:rPr>
        <w:t xml:space="preserve"> </w:t>
      </w:r>
      <w:proofErr w:type="spellStart"/>
      <w:r w:rsidRPr="0045259A">
        <w:rPr>
          <w:rStyle w:val="Strong"/>
          <w:b w:val="0"/>
          <w:bCs w:val="0"/>
        </w:rPr>
        <w:t>Ilmiah</w:t>
      </w:r>
      <w:proofErr w:type="spellEnd"/>
      <w:r w:rsidRPr="0045259A">
        <w:rPr>
          <w:rStyle w:val="Strong"/>
          <w:b w:val="0"/>
          <w:bCs w:val="0"/>
        </w:rPr>
        <w:t xml:space="preserve"> </w:t>
      </w:r>
      <w:proofErr w:type="spellStart"/>
      <w:r w:rsidRPr="0045259A">
        <w:rPr>
          <w:rStyle w:val="Strong"/>
          <w:b w:val="0"/>
          <w:bCs w:val="0"/>
        </w:rPr>
        <w:t>Edunomika</w:t>
      </w:r>
      <w:proofErr w:type="spellEnd"/>
      <w:r w:rsidRPr="0045259A">
        <w:t xml:space="preserve">, 8(3). </w:t>
      </w:r>
      <w:hyperlink r:id="rId11" w:history="1">
        <w:r w:rsidRPr="0045259A">
          <w:rPr>
            <w:rStyle w:val="Hyperlink"/>
          </w:rPr>
          <w:t>https://doi.org/10.29040/jie.v8i3.14355</w:t>
        </w:r>
      </w:hyperlink>
      <w:r w:rsidRPr="0045259A">
        <w:t xml:space="preserve">   </w:t>
      </w:r>
    </w:p>
    <w:p w14:paraId="3130E4BB" w14:textId="77777777" w:rsidR="0045259A" w:rsidRPr="0045259A" w:rsidRDefault="0045259A" w:rsidP="0045259A">
      <w:pPr>
        <w:pStyle w:val="NormalWeb"/>
        <w:ind w:left="916" w:hanging="632"/>
        <w:jc w:val="both"/>
      </w:pPr>
      <w:r w:rsidRPr="0045259A">
        <w:lastRenderedPageBreak/>
        <w:t xml:space="preserve">Kadek Wulandari Laksmi P., </w:t>
      </w:r>
      <w:proofErr w:type="spellStart"/>
      <w:r w:rsidRPr="0045259A">
        <w:t>Bhargawa</w:t>
      </w:r>
      <w:proofErr w:type="spellEnd"/>
      <w:r w:rsidRPr="0045259A">
        <w:t xml:space="preserve">, D. A. A., &amp; </w:t>
      </w:r>
      <w:proofErr w:type="spellStart"/>
      <w:r w:rsidRPr="0045259A">
        <w:t>Ariwangsa</w:t>
      </w:r>
      <w:proofErr w:type="spellEnd"/>
      <w:r w:rsidRPr="0045259A">
        <w:t xml:space="preserve">, I. G. N. (2024). </w:t>
      </w:r>
      <w:proofErr w:type="spellStart"/>
      <w:r w:rsidRPr="0045259A">
        <w:rPr>
          <w:rStyle w:val="Emphasis"/>
        </w:rPr>
        <w:t>Membantu</w:t>
      </w:r>
      <w:proofErr w:type="spellEnd"/>
      <w:r w:rsidRPr="0045259A">
        <w:rPr>
          <w:rStyle w:val="Emphasis"/>
        </w:rPr>
        <w:t xml:space="preserve"> </w:t>
      </w:r>
      <w:proofErr w:type="spellStart"/>
      <w:r w:rsidRPr="0045259A">
        <w:rPr>
          <w:rStyle w:val="Emphasis"/>
        </w:rPr>
        <w:t>penerapan</w:t>
      </w:r>
      <w:proofErr w:type="spellEnd"/>
      <w:r w:rsidRPr="0045259A">
        <w:rPr>
          <w:rStyle w:val="Emphasis"/>
        </w:rPr>
        <w:t xml:space="preserve"> </w:t>
      </w:r>
      <w:proofErr w:type="spellStart"/>
      <w:r w:rsidRPr="0045259A">
        <w:rPr>
          <w:rStyle w:val="Emphasis"/>
        </w:rPr>
        <w:t>perlindungan</w:t>
      </w:r>
      <w:proofErr w:type="spellEnd"/>
      <w:r w:rsidRPr="0045259A">
        <w:rPr>
          <w:rStyle w:val="Emphasis"/>
        </w:rPr>
        <w:t xml:space="preserve"> </w:t>
      </w:r>
      <w:proofErr w:type="spellStart"/>
      <w:r w:rsidRPr="0045259A">
        <w:rPr>
          <w:rStyle w:val="Emphasis"/>
        </w:rPr>
        <w:t>hukum</w:t>
      </w:r>
      <w:proofErr w:type="spellEnd"/>
      <w:r w:rsidRPr="0045259A">
        <w:rPr>
          <w:rStyle w:val="Emphasis"/>
        </w:rPr>
        <w:t xml:space="preserve"> </w:t>
      </w:r>
      <w:proofErr w:type="spellStart"/>
      <w:r w:rsidRPr="0045259A">
        <w:rPr>
          <w:rStyle w:val="Emphasis"/>
        </w:rPr>
        <w:t>bagi</w:t>
      </w:r>
      <w:proofErr w:type="spellEnd"/>
      <w:r w:rsidRPr="0045259A">
        <w:rPr>
          <w:rStyle w:val="Emphasis"/>
        </w:rPr>
        <w:t xml:space="preserve"> </w:t>
      </w:r>
      <w:proofErr w:type="spellStart"/>
      <w:r w:rsidRPr="0045259A">
        <w:rPr>
          <w:rStyle w:val="Emphasis"/>
        </w:rPr>
        <w:t>konsumen</w:t>
      </w:r>
      <w:proofErr w:type="spellEnd"/>
      <w:r w:rsidRPr="0045259A">
        <w:rPr>
          <w:rStyle w:val="Emphasis"/>
        </w:rPr>
        <w:t xml:space="preserve"> </w:t>
      </w:r>
      <w:proofErr w:type="spellStart"/>
      <w:r w:rsidRPr="0045259A">
        <w:rPr>
          <w:rStyle w:val="Emphasis"/>
        </w:rPr>
        <w:t>dalam</w:t>
      </w:r>
      <w:proofErr w:type="spellEnd"/>
      <w:r w:rsidRPr="0045259A">
        <w:rPr>
          <w:rStyle w:val="Emphasis"/>
        </w:rPr>
        <w:t xml:space="preserve"> </w:t>
      </w:r>
      <w:proofErr w:type="spellStart"/>
      <w:r w:rsidRPr="0045259A">
        <w:rPr>
          <w:rStyle w:val="Emphasis"/>
        </w:rPr>
        <w:t>jual</w:t>
      </w:r>
      <w:proofErr w:type="spellEnd"/>
      <w:r w:rsidRPr="0045259A">
        <w:rPr>
          <w:rStyle w:val="Emphasis"/>
        </w:rPr>
        <w:t xml:space="preserve"> </w:t>
      </w:r>
      <w:proofErr w:type="spellStart"/>
      <w:r w:rsidRPr="0045259A">
        <w:rPr>
          <w:rStyle w:val="Emphasis"/>
        </w:rPr>
        <w:t>beli</w:t>
      </w:r>
      <w:proofErr w:type="spellEnd"/>
      <w:r w:rsidRPr="0045259A">
        <w:rPr>
          <w:rStyle w:val="Emphasis"/>
        </w:rPr>
        <w:t xml:space="preserve"> </w:t>
      </w:r>
      <w:proofErr w:type="spellStart"/>
      <w:r w:rsidRPr="0045259A">
        <w:rPr>
          <w:rStyle w:val="Emphasis"/>
        </w:rPr>
        <w:t>properti</w:t>
      </w:r>
      <w:proofErr w:type="spellEnd"/>
      <w:r w:rsidRPr="0045259A">
        <w:rPr>
          <w:rStyle w:val="Emphasis"/>
        </w:rPr>
        <w:t xml:space="preserve"> di PT. </w:t>
      </w:r>
      <w:proofErr w:type="spellStart"/>
      <w:r w:rsidRPr="0045259A">
        <w:rPr>
          <w:rStyle w:val="Emphasis"/>
        </w:rPr>
        <w:t>Wolu</w:t>
      </w:r>
      <w:proofErr w:type="spellEnd"/>
      <w:r w:rsidRPr="0045259A">
        <w:rPr>
          <w:rStyle w:val="Emphasis"/>
        </w:rPr>
        <w:t xml:space="preserve"> Sekar Mas</w:t>
      </w:r>
      <w:r w:rsidRPr="0045259A">
        <w:t xml:space="preserve">. </w:t>
      </w:r>
      <w:r w:rsidRPr="0045259A">
        <w:rPr>
          <w:rStyle w:val="Strong"/>
          <w:b w:val="0"/>
          <w:bCs w:val="0"/>
        </w:rPr>
        <w:t xml:space="preserve">Community Development Journal: </w:t>
      </w:r>
      <w:proofErr w:type="spellStart"/>
      <w:r w:rsidRPr="0045259A">
        <w:rPr>
          <w:rStyle w:val="Strong"/>
          <w:b w:val="0"/>
          <w:bCs w:val="0"/>
        </w:rPr>
        <w:t>Jurnal</w:t>
      </w:r>
      <w:proofErr w:type="spellEnd"/>
      <w:r w:rsidRPr="0045259A">
        <w:rPr>
          <w:rStyle w:val="Strong"/>
          <w:b w:val="0"/>
          <w:bCs w:val="0"/>
        </w:rPr>
        <w:t xml:space="preserve"> </w:t>
      </w:r>
      <w:proofErr w:type="spellStart"/>
      <w:r w:rsidRPr="0045259A">
        <w:rPr>
          <w:rStyle w:val="Strong"/>
          <w:b w:val="0"/>
          <w:bCs w:val="0"/>
        </w:rPr>
        <w:t>Pengabdian</w:t>
      </w:r>
      <w:proofErr w:type="spellEnd"/>
      <w:r w:rsidRPr="0045259A">
        <w:rPr>
          <w:rStyle w:val="Strong"/>
          <w:b w:val="0"/>
          <w:bCs w:val="0"/>
        </w:rPr>
        <w:t xml:space="preserve"> Masyarakat</w:t>
      </w:r>
      <w:r w:rsidRPr="0045259A">
        <w:t xml:space="preserve">, 5(4), 7355–7358. </w:t>
      </w:r>
      <w:hyperlink r:id="rId12" w:history="1">
        <w:r w:rsidRPr="0045259A">
          <w:rPr>
            <w:rStyle w:val="Hyperlink"/>
          </w:rPr>
          <w:t>https://doi.org/10.31004/cdj.v5i4.32079</w:t>
        </w:r>
      </w:hyperlink>
      <w:r w:rsidRPr="0045259A">
        <w:t xml:space="preserve">  </w:t>
      </w:r>
    </w:p>
    <w:p w14:paraId="3BC3B7D2" w14:textId="77777777" w:rsidR="0045259A" w:rsidRPr="0045259A" w:rsidRDefault="0045259A" w:rsidP="0045259A">
      <w:pPr>
        <w:pStyle w:val="NormalWeb"/>
        <w:ind w:left="916" w:hanging="632"/>
        <w:jc w:val="both"/>
      </w:pPr>
      <w:r w:rsidRPr="0045259A">
        <w:t xml:space="preserve">Nasrudin, N., </w:t>
      </w:r>
      <w:proofErr w:type="spellStart"/>
      <w:r w:rsidRPr="0045259A">
        <w:t>Washliati</w:t>
      </w:r>
      <w:proofErr w:type="spellEnd"/>
      <w:r w:rsidRPr="0045259A">
        <w:t xml:space="preserve">, L., &amp; Fadlan, F. (2024). </w:t>
      </w:r>
      <w:proofErr w:type="spellStart"/>
      <w:r w:rsidRPr="0045259A">
        <w:rPr>
          <w:rStyle w:val="Emphasis"/>
        </w:rPr>
        <w:t>Analisis</w:t>
      </w:r>
      <w:proofErr w:type="spellEnd"/>
      <w:r w:rsidRPr="0045259A">
        <w:rPr>
          <w:rStyle w:val="Emphasis"/>
        </w:rPr>
        <w:t xml:space="preserve"> </w:t>
      </w:r>
      <w:proofErr w:type="spellStart"/>
      <w:r w:rsidRPr="0045259A">
        <w:rPr>
          <w:rStyle w:val="Emphasis"/>
        </w:rPr>
        <w:t>yuridis</w:t>
      </w:r>
      <w:proofErr w:type="spellEnd"/>
      <w:r w:rsidRPr="0045259A">
        <w:rPr>
          <w:rStyle w:val="Emphasis"/>
        </w:rPr>
        <w:t xml:space="preserve"> </w:t>
      </w:r>
      <w:proofErr w:type="spellStart"/>
      <w:r w:rsidRPr="0045259A">
        <w:rPr>
          <w:rStyle w:val="Emphasis"/>
        </w:rPr>
        <w:t>perlindungan</w:t>
      </w:r>
      <w:proofErr w:type="spellEnd"/>
      <w:r w:rsidRPr="0045259A">
        <w:rPr>
          <w:rStyle w:val="Emphasis"/>
        </w:rPr>
        <w:t xml:space="preserve"> </w:t>
      </w:r>
      <w:proofErr w:type="spellStart"/>
      <w:r w:rsidRPr="0045259A">
        <w:rPr>
          <w:rStyle w:val="Emphasis"/>
        </w:rPr>
        <w:t>hukum</w:t>
      </w:r>
      <w:proofErr w:type="spellEnd"/>
      <w:r w:rsidRPr="0045259A">
        <w:rPr>
          <w:rStyle w:val="Emphasis"/>
        </w:rPr>
        <w:t xml:space="preserve"> </w:t>
      </w:r>
      <w:proofErr w:type="spellStart"/>
      <w:r w:rsidRPr="0045259A">
        <w:rPr>
          <w:rStyle w:val="Emphasis"/>
        </w:rPr>
        <w:t>terhadap</w:t>
      </w:r>
      <w:proofErr w:type="spellEnd"/>
      <w:r w:rsidRPr="0045259A">
        <w:rPr>
          <w:rStyle w:val="Emphasis"/>
        </w:rPr>
        <w:t xml:space="preserve"> </w:t>
      </w:r>
      <w:proofErr w:type="spellStart"/>
      <w:r w:rsidRPr="0045259A">
        <w:rPr>
          <w:rStyle w:val="Emphasis"/>
        </w:rPr>
        <w:t>hak</w:t>
      </w:r>
      <w:proofErr w:type="spellEnd"/>
      <w:r w:rsidRPr="0045259A">
        <w:rPr>
          <w:rStyle w:val="Emphasis"/>
        </w:rPr>
        <w:t xml:space="preserve"> </w:t>
      </w:r>
      <w:proofErr w:type="spellStart"/>
      <w:r w:rsidRPr="0045259A">
        <w:rPr>
          <w:rStyle w:val="Emphasis"/>
        </w:rPr>
        <w:t>milik</w:t>
      </w:r>
      <w:proofErr w:type="spellEnd"/>
      <w:r w:rsidRPr="0045259A">
        <w:rPr>
          <w:rStyle w:val="Emphasis"/>
        </w:rPr>
        <w:t xml:space="preserve"> di </w:t>
      </w:r>
      <w:proofErr w:type="spellStart"/>
      <w:r w:rsidRPr="0045259A">
        <w:rPr>
          <w:rStyle w:val="Emphasis"/>
        </w:rPr>
        <w:t>atas</w:t>
      </w:r>
      <w:proofErr w:type="spellEnd"/>
      <w:r w:rsidRPr="0045259A">
        <w:rPr>
          <w:rStyle w:val="Emphasis"/>
        </w:rPr>
        <w:t xml:space="preserve"> </w:t>
      </w:r>
      <w:proofErr w:type="spellStart"/>
      <w:r w:rsidRPr="0045259A">
        <w:rPr>
          <w:rStyle w:val="Emphasis"/>
        </w:rPr>
        <w:t>tanah</w:t>
      </w:r>
      <w:proofErr w:type="spellEnd"/>
      <w:r w:rsidRPr="0045259A">
        <w:rPr>
          <w:rStyle w:val="Emphasis"/>
        </w:rPr>
        <w:t xml:space="preserve"> </w:t>
      </w:r>
      <w:proofErr w:type="spellStart"/>
      <w:r w:rsidRPr="0045259A">
        <w:rPr>
          <w:rStyle w:val="Emphasis"/>
        </w:rPr>
        <w:t>hak</w:t>
      </w:r>
      <w:proofErr w:type="spellEnd"/>
      <w:r w:rsidRPr="0045259A">
        <w:rPr>
          <w:rStyle w:val="Emphasis"/>
        </w:rPr>
        <w:t xml:space="preserve"> </w:t>
      </w:r>
      <w:proofErr w:type="spellStart"/>
      <w:r w:rsidRPr="0045259A">
        <w:rPr>
          <w:rStyle w:val="Emphasis"/>
        </w:rPr>
        <w:t>pengelolaan</w:t>
      </w:r>
      <w:proofErr w:type="spellEnd"/>
      <w:r w:rsidRPr="0045259A">
        <w:rPr>
          <w:rStyle w:val="Emphasis"/>
        </w:rPr>
        <w:t xml:space="preserve"> </w:t>
      </w:r>
      <w:proofErr w:type="spellStart"/>
      <w:r w:rsidRPr="0045259A">
        <w:rPr>
          <w:rStyle w:val="Emphasis"/>
        </w:rPr>
        <w:t>lahan</w:t>
      </w:r>
      <w:proofErr w:type="spellEnd"/>
      <w:r w:rsidRPr="0045259A">
        <w:rPr>
          <w:rStyle w:val="Emphasis"/>
        </w:rPr>
        <w:t xml:space="preserve"> </w:t>
      </w:r>
      <w:proofErr w:type="spellStart"/>
      <w:r w:rsidRPr="0045259A">
        <w:rPr>
          <w:rStyle w:val="Emphasis"/>
        </w:rPr>
        <w:t>untuk</w:t>
      </w:r>
      <w:proofErr w:type="spellEnd"/>
      <w:r w:rsidRPr="0045259A">
        <w:rPr>
          <w:rStyle w:val="Emphasis"/>
        </w:rPr>
        <w:t xml:space="preserve"> </w:t>
      </w:r>
      <w:proofErr w:type="spellStart"/>
      <w:r w:rsidRPr="0045259A">
        <w:rPr>
          <w:rStyle w:val="Emphasis"/>
        </w:rPr>
        <w:t>mewujudkan</w:t>
      </w:r>
      <w:proofErr w:type="spellEnd"/>
      <w:r w:rsidRPr="0045259A">
        <w:rPr>
          <w:rStyle w:val="Emphasis"/>
        </w:rPr>
        <w:t xml:space="preserve"> </w:t>
      </w:r>
      <w:proofErr w:type="spellStart"/>
      <w:r w:rsidRPr="0045259A">
        <w:rPr>
          <w:rStyle w:val="Emphasis"/>
        </w:rPr>
        <w:t>kepastian</w:t>
      </w:r>
      <w:proofErr w:type="spellEnd"/>
      <w:r w:rsidRPr="0045259A">
        <w:rPr>
          <w:rStyle w:val="Emphasis"/>
        </w:rPr>
        <w:t xml:space="preserve"> </w:t>
      </w:r>
      <w:proofErr w:type="spellStart"/>
      <w:r w:rsidRPr="0045259A">
        <w:rPr>
          <w:rStyle w:val="Emphasis"/>
        </w:rPr>
        <w:t>hukum</w:t>
      </w:r>
      <w:proofErr w:type="spellEnd"/>
      <w:r w:rsidRPr="0045259A">
        <w:t xml:space="preserve">. </w:t>
      </w:r>
      <w:r w:rsidRPr="0045259A">
        <w:rPr>
          <w:rStyle w:val="Strong"/>
          <w:b w:val="0"/>
          <w:bCs w:val="0"/>
        </w:rPr>
        <w:t xml:space="preserve">Zona Hukum: </w:t>
      </w:r>
      <w:proofErr w:type="spellStart"/>
      <w:r w:rsidRPr="0045259A">
        <w:rPr>
          <w:rStyle w:val="Strong"/>
          <w:b w:val="0"/>
          <w:bCs w:val="0"/>
        </w:rPr>
        <w:t>Jurnal</w:t>
      </w:r>
      <w:proofErr w:type="spellEnd"/>
      <w:r w:rsidRPr="0045259A">
        <w:rPr>
          <w:rStyle w:val="Strong"/>
          <w:b w:val="0"/>
          <w:bCs w:val="0"/>
        </w:rPr>
        <w:t xml:space="preserve"> Hukum</w:t>
      </w:r>
      <w:r w:rsidRPr="0045259A">
        <w:t xml:space="preserve">, 14(2), Article 548. </w:t>
      </w:r>
      <w:hyperlink r:id="rId13" w:history="1">
        <w:r w:rsidRPr="0045259A">
          <w:rPr>
            <w:rStyle w:val="Hyperlink"/>
          </w:rPr>
          <w:t>https://doi.org/10.37776/zh.v14i2.548</w:t>
        </w:r>
      </w:hyperlink>
      <w:r w:rsidRPr="0045259A">
        <w:t xml:space="preserve">  </w:t>
      </w:r>
    </w:p>
    <w:p w14:paraId="5E6FBD9E" w14:textId="77777777" w:rsidR="0045259A" w:rsidRPr="0045259A" w:rsidRDefault="0045259A" w:rsidP="0045259A">
      <w:pPr>
        <w:pStyle w:val="NormalWeb"/>
        <w:ind w:left="916" w:hanging="632"/>
        <w:jc w:val="both"/>
      </w:pPr>
      <w:r w:rsidRPr="0045259A">
        <w:t xml:space="preserve">Tiodora Siahaan, D., &amp; Saleh, M. (2022). </w:t>
      </w:r>
      <w:r w:rsidRPr="0045259A">
        <w:rPr>
          <w:rStyle w:val="Emphasis"/>
        </w:rPr>
        <w:t xml:space="preserve">Perlindungan </w:t>
      </w:r>
      <w:proofErr w:type="spellStart"/>
      <w:r w:rsidRPr="0045259A">
        <w:rPr>
          <w:rStyle w:val="Emphasis"/>
        </w:rPr>
        <w:t>hukum</w:t>
      </w:r>
      <w:proofErr w:type="spellEnd"/>
      <w:r w:rsidRPr="0045259A">
        <w:rPr>
          <w:rStyle w:val="Emphasis"/>
        </w:rPr>
        <w:t xml:space="preserve"> </w:t>
      </w:r>
      <w:proofErr w:type="spellStart"/>
      <w:r w:rsidRPr="0045259A">
        <w:rPr>
          <w:rStyle w:val="Emphasis"/>
        </w:rPr>
        <w:t>bagi</w:t>
      </w:r>
      <w:proofErr w:type="spellEnd"/>
      <w:r w:rsidRPr="0045259A">
        <w:rPr>
          <w:rStyle w:val="Emphasis"/>
        </w:rPr>
        <w:t xml:space="preserve"> </w:t>
      </w:r>
      <w:proofErr w:type="spellStart"/>
      <w:r w:rsidRPr="0045259A">
        <w:rPr>
          <w:rStyle w:val="Emphasis"/>
        </w:rPr>
        <w:t>pembeli</w:t>
      </w:r>
      <w:proofErr w:type="spellEnd"/>
      <w:r w:rsidRPr="0045259A">
        <w:rPr>
          <w:rStyle w:val="Emphasis"/>
        </w:rPr>
        <w:t xml:space="preserve"> </w:t>
      </w:r>
      <w:proofErr w:type="spellStart"/>
      <w:r w:rsidRPr="0045259A">
        <w:rPr>
          <w:rStyle w:val="Emphasis"/>
        </w:rPr>
        <w:t>properti</w:t>
      </w:r>
      <w:proofErr w:type="spellEnd"/>
      <w:r w:rsidRPr="0045259A">
        <w:rPr>
          <w:rStyle w:val="Emphasis"/>
        </w:rPr>
        <w:t xml:space="preserve"> </w:t>
      </w:r>
      <w:proofErr w:type="spellStart"/>
      <w:r w:rsidRPr="0045259A">
        <w:rPr>
          <w:rStyle w:val="Emphasis"/>
        </w:rPr>
        <w:t>perumahan</w:t>
      </w:r>
      <w:proofErr w:type="spellEnd"/>
      <w:r w:rsidRPr="0045259A">
        <w:rPr>
          <w:rStyle w:val="Emphasis"/>
        </w:rPr>
        <w:t xml:space="preserve"> </w:t>
      </w:r>
      <w:proofErr w:type="spellStart"/>
      <w:r w:rsidRPr="0045259A">
        <w:rPr>
          <w:rStyle w:val="Emphasis"/>
        </w:rPr>
        <w:t>terhadap</w:t>
      </w:r>
      <w:proofErr w:type="spellEnd"/>
      <w:r w:rsidRPr="0045259A">
        <w:rPr>
          <w:rStyle w:val="Emphasis"/>
        </w:rPr>
        <w:t xml:space="preserve"> </w:t>
      </w:r>
      <w:proofErr w:type="spellStart"/>
      <w:r w:rsidRPr="0045259A">
        <w:rPr>
          <w:rStyle w:val="Emphasis"/>
        </w:rPr>
        <w:t>perbedaan</w:t>
      </w:r>
      <w:proofErr w:type="spellEnd"/>
      <w:r w:rsidRPr="0045259A">
        <w:rPr>
          <w:rStyle w:val="Emphasis"/>
        </w:rPr>
        <w:t xml:space="preserve"> </w:t>
      </w:r>
      <w:proofErr w:type="spellStart"/>
      <w:r w:rsidRPr="0045259A">
        <w:rPr>
          <w:rStyle w:val="Emphasis"/>
        </w:rPr>
        <w:t>luas</w:t>
      </w:r>
      <w:proofErr w:type="spellEnd"/>
      <w:r w:rsidRPr="0045259A">
        <w:rPr>
          <w:rStyle w:val="Emphasis"/>
        </w:rPr>
        <w:t xml:space="preserve"> </w:t>
      </w:r>
      <w:proofErr w:type="spellStart"/>
      <w:r w:rsidRPr="0045259A">
        <w:rPr>
          <w:rStyle w:val="Emphasis"/>
        </w:rPr>
        <w:t>objek</w:t>
      </w:r>
      <w:proofErr w:type="spellEnd"/>
      <w:r w:rsidRPr="0045259A">
        <w:rPr>
          <w:rStyle w:val="Emphasis"/>
        </w:rPr>
        <w:t xml:space="preserve"> </w:t>
      </w:r>
      <w:proofErr w:type="spellStart"/>
      <w:r w:rsidRPr="0045259A">
        <w:rPr>
          <w:rStyle w:val="Emphasis"/>
        </w:rPr>
        <w:t>tanah</w:t>
      </w:r>
      <w:proofErr w:type="spellEnd"/>
      <w:r w:rsidRPr="0045259A">
        <w:rPr>
          <w:rStyle w:val="Emphasis"/>
        </w:rPr>
        <w:t xml:space="preserve"> </w:t>
      </w:r>
      <w:proofErr w:type="spellStart"/>
      <w:r w:rsidRPr="0045259A">
        <w:rPr>
          <w:rStyle w:val="Emphasis"/>
        </w:rPr>
        <w:t>dalam</w:t>
      </w:r>
      <w:proofErr w:type="spellEnd"/>
      <w:r w:rsidRPr="0045259A">
        <w:rPr>
          <w:rStyle w:val="Emphasis"/>
        </w:rPr>
        <w:t xml:space="preserve"> </w:t>
      </w:r>
      <w:proofErr w:type="spellStart"/>
      <w:r w:rsidRPr="0045259A">
        <w:rPr>
          <w:rStyle w:val="Emphasis"/>
        </w:rPr>
        <w:t>sertifikat</w:t>
      </w:r>
      <w:proofErr w:type="spellEnd"/>
      <w:r w:rsidRPr="0045259A">
        <w:rPr>
          <w:rStyle w:val="Emphasis"/>
        </w:rPr>
        <w:t xml:space="preserve"> </w:t>
      </w:r>
      <w:proofErr w:type="spellStart"/>
      <w:r w:rsidRPr="0045259A">
        <w:rPr>
          <w:rStyle w:val="Emphasis"/>
        </w:rPr>
        <w:t>dengan</w:t>
      </w:r>
      <w:proofErr w:type="spellEnd"/>
      <w:r w:rsidRPr="0045259A">
        <w:rPr>
          <w:rStyle w:val="Emphasis"/>
        </w:rPr>
        <w:t xml:space="preserve"> </w:t>
      </w:r>
      <w:proofErr w:type="spellStart"/>
      <w:r w:rsidRPr="0045259A">
        <w:rPr>
          <w:rStyle w:val="Emphasis"/>
        </w:rPr>
        <w:t>akta</w:t>
      </w:r>
      <w:proofErr w:type="spellEnd"/>
      <w:r w:rsidRPr="0045259A">
        <w:rPr>
          <w:rStyle w:val="Emphasis"/>
        </w:rPr>
        <w:t xml:space="preserve"> </w:t>
      </w:r>
      <w:proofErr w:type="spellStart"/>
      <w:r w:rsidRPr="0045259A">
        <w:rPr>
          <w:rStyle w:val="Emphasis"/>
        </w:rPr>
        <w:t>jual</w:t>
      </w:r>
      <w:proofErr w:type="spellEnd"/>
      <w:r w:rsidRPr="0045259A">
        <w:rPr>
          <w:rStyle w:val="Emphasis"/>
        </w:rPr>
        <w:t xml:space="preserve"> </w:t>
      </w:r>
      <w:proofErr w:type="spellStart"/>
      <w:r w:rsidRPr="0045259A">
        <w:rPr>
          <w:rStyle w:val="Emphasis"/>
        </w:rPr>
        <w:t>beli</w:t>
      </w:r>
      <w:proofErr w:type="spellEnd"/>
      <w:r w:rsidRPr="0045259A">
        <w:t xml:space="preserve">. </w:t>
      </w:r>
      <w:proofErr w:type="spellStart"/>
      <w:r w:rsidRPr="0045259A">
        <w:rPr>
          <w:rStyle w:val="Strong"/>
          <w:b w:val="0"/>
          <w:bCs w:val="0"/>
        </w:rPr>
        <w:t>Perspektif</w:t>
      </w:r>
      <w:proofErr w:type="spellEnd"/>
      <w:r w:rsidRPr="0045259A">
        <w:rPr>
          <w:rStyle w:val="Strong"/>
          <w:b w:val="0"/>
          <w:bCs w:val="0"/>
        </w:rPr>
        <w:t xml:space="preserve">: Kajian </w:t>
      </w:r>
      <w:proofErr w:type="spellStart"/>
      <w:r w:rsidRPr="0045259A">
        <w:rPr>
          <w:rStyle w:val="Strong"/>
          <w:b w:val="0"/>
          <w:bCs w:val="0"/>
        </w:rPr>
        <w:t>Masalah</w:t>
      </w:r>
      <w:proofErr w:type="spellEnd"/>
      <w:r w:rsidRPr="0045259A">
        <w:rPr>
          <w:rStyle w:val="Strong"/>
          <w:b w:val="0"/>
          <w:bCs w:val="0"/>
        </w:rPr>
        <w:t xml:space="preserve"> Hukum dan Pembangunan</w:t>
      </w:r>
      <w:r w:rsidRPr="0045259A">
        <w:t xml:space="preserve">, 27(2). </w:t>
      </w:r>
      <w:hyperlink r:id="rId14" w:history="1">
        <w:r w:rsidRPr="0045259A">
          <w:rPr>
            <w:rStyle w:val="Hyperlink"/>
          </w:rPr>
          <w:t>https://doi.org/10.30742/perspektif.v27i2.821</w:t>
        </w:r>
      </w:hyperlink>
      <w:r w:rsidRPr="0045259A">
        <w:t xml:space="preserve">  </w:t>
      </w:r>
    </w:p>
    <w:p w14:paraId="7FCA376D" w14:textId="77777777" w:rsidR="0045259A" w:rsidRPr="0045259A" w:rsidRDefault="0045259A" w:rsidP="0045259A">
      <w:pPr>
        <w:pStyle w:val="NormalWeb"/>
        <w:ind w:left="916" w:hanging="632"/>
        <w:jc w:val="both"/>
      </w:pPr>
      <w:proofErr w:type="spellStart"/>
      <w:r w:rsidRPr="0045259A">
        <w:t>Ratnita</w:t>
      </w:r>
      <w:proofErr w:type="spellEnd"/>
      <w:r w:rsidRPr="0045259A">
        <w:t xml:space="preserve">, T. N. S. (2025). </w:t>
      </w:r>
      <w:r w:rsidRPr="0045259A">
        <w:rPr>
          <w:rStyle w:val="Emphasis"/>
        </w:rPr>
        <w:t>Public legal literacy and ownership certainty in land transactions in Yogyakarta: A socio-legal case study</w:t>
      </w:r>
      <w:r w:rsidRPr="0045259A">
        <w:t xml:space="preserve">. </w:t>
      </w:r>
      <w:proofErr w:type="spellStart"/>
      <w:r w:rsidRPr="0045259A">
        <w:rPr>
          <w:rStyle w:val="Strong"/>
          <w:b w:val="0"/>
          <w:bCs w:val="0"/>
        </w:rPr>
        <w:t>Saneskara</w:t>
      </w:r>
      <w:proofErr w:type="spellEnd"/>
      <w:r w:rsidRPr="0045259A">
        <w:rPr>
          <w:rStyle w:val="Strong"/>
          <w:b w:val="0"/>
          <w:bCs w:val="0"/>
        </w:rPr>
        <w:t>: Journal of Social Studies</w:t>
      </w:r>
      <w:r w:rsidRPr="0045259A">
        <w:t>, 2(2), 75</w:t>
      </w:r>
      <w:proofErr w:type="gramStart"/>
      <w:r w:rsidRPr="0045259A">
        <w:t>–??.</w:t>
      </w:r>
      <w:proofErr w:type="gramEnd"/>
      <w:r w:rsidRPr="0045259A">
        <w:t xml:space="preserve"> </w:t>
      </w:r>
      <w:hyperlink r:id="rId15" w:history="1">
        <w:r w:rsidRPr="0045259A">
          <w:rPr>
            <w:rStyle w:val="Hyperlink"/>
          </w:rPr>
          <w:t>https://doi.org/10.62491/sjss.v2i2.2025.52</w:t>
        </w:r>
      </w:hyperlink>
      <w:r w:rsidRPr="0045259A">
        <w:t xml:space="preserve">  </w:t>
      </w:r>
    </w:p>
    <w:p w14:paraId="0BBD596C" w14:textId="77777777" w:rsidR="0045259A" w:rsidRPr="0045259A" w:rsidRDefault="0045259A" w:rsidP="0045259A">
      <w:pPr>
        <w:pStyle w:val="NormalWeb"/>
        <w:ind w:left="916" w:hanging="632"/>
        <w:jc w:val="both"/>
      </w:pPr>
      <w:proofErr w:type="spellStart"/>
      <w:r w:rsidRPr="0045259A">
        <w:t>Suhadi</w:t>
      </w:r>
      <w:proofErr w:type="spellEnd"/>
      <w:r w:rsidRPr="0045259A">
        <w:t xml:space="preserve">, S., </w:t>
      </w:r>
      <w:proofErr w:type="spellStart"/>
      <w:r w:rsidRPr="0045259A">
        <w:t>Muhtada</w:t>
      </w:r>
      <w:proofErr w:type="spellEnd"/>
      <w:r w:rsidRPr="0045259A">
        <w:t xml:space="preserve">, D., Ramli, A., </w:t>
      </w:r>
      <w:proofErr w:type="spellStart"/>
      <w:r w:rsidRPr="0045259A">
        <w:t>Baehaqie</w:t>
      </w:r>
      <w:proofErr w:type="spellEnd"/>
      <w:r w:rsidRPr="0045259A">
        <w:t xml:space="preserve">, I., </w:t>
      </w:r>
      <w:proofErr w:type="spellStart"/>
      <w:r w:rsidRPr="0045259A">
        <w:t>Santyoko</w:t>
      </w:r>
      <w:proofErr w:type="spellEnd"/>
      <w:r w:rsidRPr="0045259A">
        <w:t xml:space="preserve">, L. A., &amp; Ridha, M. (2024). </w:t>
      </w:r>
      <w:r w:rsidRPr="0045259A">
        <w:rPr>
          <w:rStyle w:val="Emphasis"/>
        </w:rPr>
        <w:t>Enhancing nazir capacity through legal literacy of land trust to ensure legal certainty in waqf land management</w:t>
      </w:r>
      <w:r w:rsidRPr="0045259A">
        <w:t xml:space="preserve">. </w:t>
      </w:r>
      <w:r w:rsidRPr="0045259A">
        <w:rPr>
          <w:rStyle w:val="Strong"/>
          <w:b w:val="0"/>
          <w:bCs w:val="0"/>
        </w:rPr>
        <w:t>Indonesian Journal of Legal Community Engagement</w:t>
      </w:r>
      <w:r w:rsidRPr="0045259A">
        <w:t xml:space="preserve">, 7(2), 119–134. </w:t>
      </w:r>
      <w:hyperlink r:id="rId16" w:history="1">
        <w:r w:rsidRPr="0045259A">
          <w:rPr>
            <w:rStyle w:val="Hyperlink"/>
          </w:rPr>
          <w:t>https://doi.org/10.15294/jphi.v7i2.6693</w:t>
        </w:r>
      </w:hyperlink>
      <w:r w:rsidRPr="0045259A">
        <w:t xml:space="preserve">  </w:t>
      </w:r>
    </w:p>
    <w:p w14:paraId="7A1C2B6B" w14:textId="77777777" w:rsidR="0045259A" w:rsidRPr="0045259A" w:rsidRDefault="0045259A" w:rsidP="0045259A">
      <w:pPr>
        <w:pStyle w:val="NormalWeb"/>
        <w:ind w:left="916" w:hanging="632"/>
        <w:jc w:val="both"/>
      </w:pPr>
      <w:r w:rsidRPr="0045259A">
        <w:t xml:space="preserve">Fikri, R. H., </w:t>
      </w:r>
      <w:proofErr w:type="spellStart"/>
      <w:r w:rsidRPr="0045259A">
        <w:t>Sutikno</w:t>
      </w:r>
      <w:proofErr w:type="spellEnd"/>
      <w:r w:rsidRPr="0045259A">
        <w:t xml:space="preserve">, A. Y. W., &amp; Azis, M. (2023). </w:t>
      </w:r>
      <w:r w:rsidRPr="0045259A">
        <w:rPr>
          <w:rStyle w:val="Emphasis"/>
        </w:rPr>
        <w:t xml:space="preserve">Perlindungan dan </w:t>
      </w:r>
      <w:proofErr w:type="spellStart"/>
      <w:r w:rsidRPr="0045259A">
        <w:rPr>
          <w:rStyle w:val="Emphasis"/>
        </w:rPr>
        <w:t>jaminan</w:t>
      </w:r>
      <w:proofErr w:type="spellEnd"/>
      <w:r w:rsidRPr="0045259A">
        <w:rPr>
          <w:rStyle w:val="Emphasis"/>
        </w:rPr>
        <w:t xml:space="preserve"> </w:t>
      </w:r>
      <w:proofErr w:type="spellStart"/>
      <w:r w:rsidRPr="0045259A">
        <w:rPr>
          <w:rStyle w:val="Emphasis"/>
        </w:rPr>
        <w:t>kepastian</w:t>
      </w:r>
      <w:proofErr w:type="spellEnd"/>
      <w:r w:rsidRPr="0045259A">
        <w:rPr>
          <w:rStyle w:val="Emphasis"/>
        </w:rPr>
        <w:t xml:space="preserve"> </w:t>
      </w:r>
      <w:proofErr w:type="spellStart"/>
      <w:r w:rsidRPr="0045259A">
        <w:rPr>
          <w:rStyle w:val="Emphasis"/>
        </w:rPr>
        <w:t>hukum</w:t>
      </w:r>
      <w:proofErr w:type="spellEnd"/>
      <w:r w:rsidRPr="0045259A">
        <w:rPr>
          <w:rStyle w:val="Emphasis"/>
        </w:rPr>
        <w:t xml:space="preserve"> </w:t>
      </w:r>
      <w:proofErr w:type="spellStart"/>
      <w:r w:rsidRPr="0045259A">
        <w:rPr>
          <w:rStyle w:val="Emphasis"/>
        </w:rPr>
        <w:t>terhadap</w:t>
      </w:r>
      <w:proofErr w:type="spellEnd"/>
      <w:r w:rsidRPr="0045259A">
        <w:rPr>
          <w:rStyle w:val="Emphasis"/>
        </w:rPr>
        <w:t xml:space="preserve"> </w:t>
      </w:r>
      <w:proofErr w:type="spellStart"/>
      <w:r w:rsidRPr="0045259A">
        <w:rPr>
          <w:rStyle w:val="Emphasis"/>
        </w:rPr>
        <w:t>bukti</w:t>
      </w:r>
      <w:proofErr w:type="spellEnd"/>
      <w:r w:rsidRPr="0045259A">
        <w:rPr>
          <w:rStyle w:val="Emphasis"/>
        </w:rPr>
        <w:t xml:space="preserve"> </w:t>
      </w:r>
      <w:proofErr w:type="spellStart"/>
      <w:r w:rsidRPr="0045259A">
        <w:rPr>
          <w:rStyle w:val="Emphasis"/>
        </w:rPr>
        <w:t>surat</w:t>
      </w:r>
      <w:proofErr w:type="spellEnd"/>
      <w:r w:rsidRPr="0045259A">
        <w:rPr>
          <w:rStyle w:val="Emphasis"/>
        </w:rPr>
        <w:t xml:space="preserve"> </w:t>
      </w:r>
      <w:proofErr w:type="spellStart"/>
      <w:r w:rsidRPr="0045259A">
        <w:rPr>
          <w:rStyle w:val="Emphasis"/>
        </w:rPr>
        <w:t>kepemilikan</w:t>
      </w:r>
      <w:proofErr w:type="spellEnd"/>
      <w:r w:rsidRPr="0045259A">
        <w:rPr>
          <w:rStyle w:val="Emphasis"/>
        </w:rPr>
        <w:t xml:space="preserve"> </w:t>
      </w:r>
      <w:proofErr w:type="spellStart"/>
      <w:r w:rsidRPr="0045259A">
        <w:rPr>
          <w:rStyle w:val="Emphasis"/>
        </w:rPr>
        <w:t>tanah</w:t>
      </w:r>
      <w:proofErr w:type="spellEnd"/>
      <w:r w:rsidRPr="0045259A">
        <w:rPr>
          <w:rStyle w:val="Emphasis"/>
        </w:rPr>
        <w:t xml:space="preserve"> non-</w:t>
      </w:r>
      <w:proofErr w:type="spellStart"/>
      <w:r w:rsidRPr="0045259A">
        <w:rPr>
          <w:rStyle w:val="Emphasis"/>
        </w:rPr>
        <w:t>sertifikat</w:t>
      </w:r>
      <w:proofErr w:type="spellEnd"/>
      <w:r w:rsidRPr="0045259A">
        <w:rPr>
          <w:rStyle w:val="Emphasis"/>
        </w:rPr>
        <w:t xml:space="preserve"> (Studi </w:t>
      </w:r>
      <w:proofErr w:type="spellStart"/>
      <w:r w:rsidRPr="0045259A">
        <w:rPr>
          <w:rStyle w:val="Emphasis"/>
        </w:rPr>
        <w:t>kasus</w:t>
      </w:r>
      <w:proofErr w:type="spellEnd"/>
      <w:r w:rsidRPr="0045259A">
        <w:rPr>
          <w:rStyle w:val="Emphasis"/>
        </w:rPr>
        <w:t xml:space="preserve"> </w:t>
      </w:r>
      <w:proofErr w:type="spellStart"/>
      <w:r w:rsidRPr="0045259A">
        <w:rPr>
          <w:rStyle w:val="Emphasis"/>
        </w:rPr>
        <w:t>Kabupaten</w:t>
      </w:r>
      <w:proofErr w:type="spellEnd"/>
      <w:r w:rsidRPr="0045259A">
        <w:rPr>
          <w:rStyle w:val="Emphasis"/>
        </w:rPr>
        <w:t xml:space="preserve"> Sorong)</w:t>
      </w:r>
      <w:r w:rsidRPr="0045259A">
        <w:t xml:space="preserve">. </w:t>
      </w:r>
      <w:r w:rsidRPr="0045259A">
        <w:rPr>
          <w:rStyle w:val="Strong"/>
          <w:b w:val="0"/>
          <w:bCs w:val="0"/>
        </w:rPr>
        <w:t xml:space="preserve">Equality Before </w:t>
      </w:r>
      <w:proofErr w:type="gramStart"/>
      <w:r w:rsidRPr="0045259A">
        <w:rPr>
          <w:rStyle w:val="Strong"/>
          <w:b w:val="0"/>
          <w:bCs w:val="0"/>
        </w:rPr>
        <w:t>The</w:t>
      </w:r>
      <w:proofErr w:type="gramEnd"/>
      <w:r w:rsidRPr="0045259A">
        <w:rPr>
          <w:rStyle w:val="Strong"/>
          <w:b w:val="0"/>
          <w:bCs w:val="0"/>
        </w:rPr>
        <w:t xml:space="preserve"> Law</w:t>
      </w:r>
      <w:r w:rsidRPr="0045259A">
        <w:t xml:space="preserve">, 3(1). </w:t>
      </w:r>
      <w:hyperlink r:id="rId17" w:history="1">
        <w:r w:rsidRPr="0045259A">
          <w:rPr>
            <w:rStyle w:val="Hyperlink"/>
          </w:rPr>
          <w:t>https://doi.org/10.36232/equalitybeforethelaw.v3i1.465</w:t>
        </w:r>
      </w:hyperlink>
      <w:r w:rsidRPr="0045259A">
        <w:t xml:space="preserve">  </w:t>
      </w:r>
    </w:p>
    <w:p w14:paraId="25BAA800" w14:textId="77777777" w:rsidR="0045259A" w:rsidRPr="0045259A" w:rsidRDefault="0045259A" w:rsidP="0045259A">
      <w:pPr>
        <w:pStyle w:val="NormalWeb"/>
        <w:ind w:left="916" w:hanging="632"/>
        <w:jc w:val="both"/>
      </w:pPr>
      <w:r w:rsidRPr="0045259A">
        <w:t xml:space="preserve">Fakhry </w:t>
      </w:r>
      <w:proofErr w:type="spellStart"/>
      <w:r w:rsidRPr="0045259A">
        <w:t>Firmanto</w:t>
      </w:r>
      <w:proofErr w:type="spellEnd"/>
      <w:r w:rsidRPr="0045259A">
        <w:t xml:space="preserve"> &amp; </w:t>
      </w:r>
      <w:proofErr w:type="spellStart"/>
      <w:r w:rsidRPr="0045259A">
        <w:t>Sutrisno</w:t>
      </w:r>
      <w:proofErr w:type="spellEnd"/>
      <w:r w:rsidRPr="0045259A">
        <w:t xml:space="preserve">, H. (2026). </w:t>
      </w:r>
      <w:r w:rsidRPr="0045259A">
        <w:rPr>
          <w:rStyle w:val="Emphasis"/>
        </w:rPr>
        <w:t>Legal certainty of land registration as a form of protection of citizens’ constitutional rights</w:t>
      </w:r>
      <w:r w:rsidRPr="0045259A">
        <w:t xml:space="preserve">. </w:t>
      </w:r>
      <w:r w:rsidRPr="0045259A">
        <w:rPr>
          <w:rStyle w:val="Strong"/>
          <w:b w:val="0"/>
          <w:bCs w:val="0"/>
        </w:rPr>
        <w:t xml:space="preserve">JKIH: </w:t>
      </w:r>
      <w:proofErr w:type="spellStart"/>
      <w:r w:rsidRPr="0045259A">
        <w:rPr>
          <w:rStyle w:val="Strong"/>
          <w:b w:val="0"/>
          <w:bCs w:val="0"/>
        </w:rPr>
        <w:t>Jurnal</w:t>
      </w:r>
      <w:proofErr w:type="spellEnd"/>
      <w:r w:rsidRPr="0045259A">
        <w:rPr>
          <w:rStyle w:val="Strong"/>
          <w:b w:val="0"/>
          <w:bCs w:val="0"/>
        </w:rPr>
        <w:t xml:space="preserve"> Kajian </w:t>
      </w:r>
      <w:proofErr w:type="spellStart"/>
      <w:r w:rsidRPr="0045259A">
        <w:rPr>
          <w:rStyle w:val="Strong"/>
          <w:b w:val="0"/>
          <w:bCs w:val="0"/>
        </w:rPr>
        <w:t>Ilmu</w:t>
      </w:r>
      <w:proofErr w:type="spellEnd"/>
      <w:r w:rsidRPr="0045259A">
        <w:rPr>
          <w:rStyle w:val="Strong"/>
          <w:b w:val="0"/>
          <w:bCs w:val="0"/>
        </w:rPr>
        <w:t xml:space="preserve"> Hukum</w:t>
      </w:r>
      <w:r w:rsidRPr="0045259A">
        <w:t xml:space="preserve">, 5(1). </w:t>
      </w:r>
      <w:hyperlink r:id="rId18" w:history="1">
        <w:r w:rsidRPr="0045259A">
          <w:rPr>
            <w:rStyle w:val="Hyperlink"/>
          </w:rPr>
          <w:t>https://doi.org/10.55583/jkih.v5i1.1661</w:t>
        </w:r>
      </w:hyperlink>
      <w:r w:rsidRPr="0045259A">
        <w:t xml:space="preserve">  </w:t>
      </w:r>
    </w:p>
    <w:p w14:paraId="04CBD2DB" w14:textId="77777777" w:rsidR="0045259A" w:rsidRPr="0045259A" w:rsidRDefault="0045259A" w:rsidP="0045259A">
      <w:pPr>
        <w:pStyle w:val="NormalWeb"/>
        <w:ind w:left="916" w:hanging="632"/>
        <w:jc w:val="both"/>
      </w:pPr>
      <w:proofErr w:type="spellStart"/>
      <w:r w:rsidRPr="0045259A">
        <w:t>Nadeak</w:t>
      </w:r>
      <w:proofErr w:type="spellEnd"/>
      <w:r w:rsidRPr="0045259A">
        <w:t xml:space="preserve">, S. D., </w:t>
      </w:r>
      <w:proofErr w:type="spellStart"/>
      <w:r w:rsidRPr="0045259A">
        <w:t>Rambe</w:t>
      </w:r>
      <w:proofErr w:type="spellEnd"/>
      <w:r w:rsidRPr="0045259A">
        <w:t xml:space="preserve">, A. A., </w:t>
      </w:r>
      <w:proofErr w:type="spellStart"/>
      <w:r w:rsidRPr="0045259A">
        <w:t>Joharsah</w:t>
      </w:r>
      <w:proofErr w:type="spellEnd"/>
      <w:r w:rsidRPr="0045259A">
        <w:t xml:space="preserve">, &amp; Ananda </w:t>
      </w:r>
      <w:proofErr w:type="spellStart"/>
      <w:r w:rsidRPr="0045259A">
        <w:t>Nst</w:t>
      </w:r>
      <w:proofErr w:type="spellEnd"/>
      <w:r w:rsidRPr="0045259A">
        <w:t xml:space="preserve">, D. M. (2024). </w:t>
      </w:r>
      <w:r w:rsidRPr="0045259A">
        <w:rPr>
          <w:rStyle w:val="Emphasis"/>
        </w:rPr>
        <w:t xml:space="preserve">Perlindungan </w:t>
      </w:r>
      <w:proofErr w:type="spellStart"/>
      <w:r w:rsidRPr="0045259A">
        <w:rPr>
          <w:rStyle w:val="Emphasis"/>
        </w:rPr>
        <w:t>hukum</w:t>
      </w:r>
      <w:proofErr w:type="spellEnd"/>
      <w:r w:rsidRPr="0045259A">
        <w:rPr>
          <w:rStyle w:val="Emphasis"/>
        </w:rPr>
        <w:t xml:space="preserve"> </w:t>
      </w:r>
      <w:proofErr w:type="spellStart"/>
      <w:r w:rsidRPr="0045259A">
        <w:rPr>
          <w:rStyle w:val="Emphasis"/>
        </w:rPr>
        <w:t>bagi</w:t>
      </w:r>
      <w:proofErr w:type="spellEnd"/>
      <w:r w:rsidRPr="0045259A">
        <w:rPr>
          <w:rStyle w:val="Emphasis"/>
        </w:rPr>
        <w:t xml:space="preserve"> </w:t>
      </w:r>
      <w:proofErr w:type="spellStart"/>
      <w:r w:rsidRPr="0045259A">
        <w:rPr>
          <w:rStyle w:val="Emphasis"/>
        </w:rPr>
        <w:t>konsumen</w:t>
      </w:r>
      <w:proofErr w:type="spellEnd"/>
      <w:r w:rsidRPr="0045259A">
        <w:rPr>
          <w:rStyle w:val="Emphasis"/>
        </w:rPr>
        <w:t xml:space="preserve"> </w:t>
      </w:r>
      <w:proofErr w:type="spellStart"/>
      <w:r w:rsidRPr="0045259A">
        <w:rPr>
          <w:rStyle w:val="Emphasis"/>
        </w:rPr>
        <w:t>dalam</w:t>
      </w:r>
      <w:proofErr w:type="spellEnd"/>
      <w:r w:rsidRPr="0045259A">
        <w:rPr>
          <w:rStyle w:val="Emphasis"/>
        </w:rPr>
        <w:t xml:space="preserve"> </w:t>
      </w:r>
      <w:proofErr w:type="spellStart"/>
      <w:r w:rsidRPr="0045259A">
        <w:rPr>
          <w:rStyle w:val="Emphasis"/>
        </w:rPr>
        <w:t>transaksi</w:t>
      </w:r>
      <w:proofErr w:type="spellEnd"/>
      <w:r w:rsidRPr="0045259A">
        <w:rPr>
          <w:rStyle w:val="Emphasis"/>
        </w:rPr>
        <w:t xml:space="preserve"> </w:t>
      </w:r>
      <w:proofErr w:type="spellStart"/>
      <w:r w:rsidRPr="0045259A">
        <w:rPr>
          <w:rStyle w:val="Emphasis"/>
        </w:rPr>
        <w:t>jual</w:t>
      </w:r>
      <w:proofErr w:type="spellEnd"/>
      <w:r w:rsidRPr="0045259A">
        <w:rPr>
          <w:rStyle w:val="Emphasis"/>
        </w:rPr>
        <w:t xml:space="preserve"> </w:t>
      </w:r>
      <w:proofErr w:type="spellStart"/>
      <w:r w:rsidRPr="0045259A">
        <w:rPr>
          <w:rStyle w:val="Emphasis"/>
        </w:rPr>
        <w:t>beli</w:t>
      </w:r>
      <w:proofErr w:type="spellEnd"/>
      <w:r w:rsidRPr="0045259A">
        <w:rPr>
          <w:rStyle w:val="Emphasis"/>
        </w:rPr>
        <w:t xml:space="preserve"> </w:t>
      </w:r>
      <w:proofErr w:type="spellStart"/>
      <w:r w:rsidRPr="0045259A">
        <w:rPr>
          <w:rStyle w:val="Emphasis"/>
        </w:rPr>
        <w:t>properti</w:t>
      </w:r>
      <w:proofErr w:type="spellEnd"/>
      <w:r w:rsidRPr="0045259A">
        <w:rPr>
          <w:rStyle w:val="Emphasis"/>
        </w:rPr>
        <w:t xml:space="preserve"> di Medan </w:t>
      </w:r>
      <w:proofErr w:type="spellStart"/>
      <w:r w:rsidRPr="0045259A">
        <w:rPr>
          <w:rStyle w:val="Emphasis"/>
        </w:rPr>
        <w:t>berdasarkan</w:t>
      </w:r>
      <w:proofErr w:type="spellEnd"/>
      <w:r w:rsidRPr="0045259A">
        <w:rPr>
          <w:rStyle w:val="Emphasis"/>
        </w:rPr>
        <w:t xml:space="preserve"> KUH </w:t>
      </w:r>
      <w:proofErr w:type="spellStart"/>
      <w:r w:rsidRPr="0045259A">
        <w:rPr>
          <w:rStyle w:val="Emphasis"/>
        </w:rPr>
        <w:t>Perdata</w:t>
      </w:r>
      <w:proofErr w:type="spellEnd"/>
      <w:r w:rsidRPr="0045259A">
        <w:t xml:space="preserve">. </w:t>
      </w:r>
      <w:r w:rsidRPr="0045259A">
        <w:rPr>
          <w:rStyle w:val="Strong"/>
          <w:b w:val="0"/>
          <w:bCs w:val="0"/>
        </w:rPr>
        <w:t xml:space="preserve">Judge: </w:t>
      </w:r>
      <w:proofErr w:type="spellStart"/>
      <w:r w:rsidRPr="0045259A">
        <w:rPr>
          <w:rStyle w:val="Strong"/>
          <w:b w:val="0"/>
          <w:bCs w:val="0"/>
        </w:rPr>
        <w:t>Jurnal</w:t>
      </w:r>
      <w:proofErr w:type="spellEnd"/>
      <w:r w:rsidRPr="0045259A">
        <w:rPr>
          <w:rStyle w:val="Strong"/>
          <w:b w:val="0"/>
          <w:bCs w:val="0"/>
        </w:rPr>
        <w:t xml:space="preserve"> Hukum</w:t>
      </w:r>
      <w:r w:rsidRPr="0045259A">
        <w:t xml:space="preserve">, 5(03), 80–85. </w:t>
      </w:r>
      <w:hyperlink r:id="rId19" w:history="1">
        <w:r w:rsidRPr="0045259A">
          <w:rPr>
            <w:rStyle w:val="Hyperlink"/>
          </w:rPr>
          <w:t>https://doi.org/10.54209/judge.v5i03.802</w:t>
        </w:r>
      </w:hyperlink>
      <w:r w:rsidRPr="0045259A">
        <w:t xml:space="preserve">  </w:t>
      </w:r>
    </w:p>
    <w:p w14:paraId="1A64E0A5" w14:textId="77777777" w:rsidR="0045259A" w:rsidRPr="0045259A" w:rsidRDefault="0045259A" w:rsidP="0045259A">
      <w:pPr>
        <w:pStyle w:val="NormalWeb"/>
        <w:ind w:left="916" w:hanging="632"/>
        <w:jc w:val="both"/>
      </w:pPr>
      <w:r w:rsidRPr="0045259A">
        <w:t xml:space="preserve">Prabowo, M. S. (2025). </w:t>
      </w:r>
      <w:r w:rsidRPr="0045259A">
        <w:rPr>
          <w:rStyle w:val="Emphasis"/>
        </w:rPr>
        <w:t>The role of legal knowledge in strengthening consumer protection and access to justice</w:t>
      </w:r>
      <w:r w:rsidRPr="0045259A">
        <w:t xml:space="preserve">. </w:t>
      </w:r>
      <w:proofErr w:type="spellStart"/>
      <w:r w:rsidRPr="0045259A">
        <w:rPr>
          <w:rStyle w:val="Strong"/>
          <w:b w:val="0"/>
          <w:bCs w:val="0"/>
        </w:rPr>
        <w:t>Jurnal</w:t>
      </w:r>
      <w:proofErr w:type="spellEnd"/>
      <w:r w:rsidRPr="0045259A">
        <w:rPr>
          <w:rStyle w:val="Strong"/>
          <w:b w:val="0"/>
          <w:bCs w:val="0"/>
        </w:rPr>
        <w:t xml:space="preserve"> </w:t>
      </w:r>
      <w:proofErr w:type="spellStart"/>
      <w:r w:rsidRPr="0045259A">
        <w:rPr>
          <w:rStyle w:val="Strong"/>
          <w:b w:val="0"/>
          <w:bCs w:val="0"/>
        </w:rPr>
        <w:t>Pembaharuan</w:t>
      </w:r>
      <w:proofErr w:type="spellEnd"/>
      <w:r w:rsidRPr="0045259A">
        <w:rPr>
          <w:rStyle w:val="Strong"/>
          <w:b w:val="0"/>
          <w:bCs w:val="0"/>
        </w:rPr>
        <w:t xml:space="preserve"> Hukum</w:t>
      </w:r>
      <w:r w:rsidRPr="0045259A">
        <w:t xml:space="preserve">. 13(5). </w:t>
      </w:r>
      <w:hyperlink r:id="rId20" w:history="1">
        <w:r w:rsidRPr="0045259A">
          <w:rPr>
            <w:rStyle w:val="Hyperlink"/>
            <w:shd w:val="clear" w:color="auto" w:fill="FFFFFF"/>
          </w:rPr>
          <w:t>https://dx.doi.org/10.26532/jph.v12i3.46983</w:t>
        </w:r>
      </w:hyperlink>
      <w:r w:rsidRPr="0045259A">
        <w:rPr>
          <w:color w:val="0070C0"/>
        </w:rPr>
        <w:t xml:space="preserve"> </w:t>
      </w:r>
    </w:p>
    <w:p w14:paraId="2B0ADF8D" w14:textId="77777777" w:rsidR="0045259A" w:rsidRPr="0045259A" w:rsidRDefault="0045259A" w:rsidP="0045259A">
      <w:pPr>
        <w:pStyle w:val="NormalWeb"/>
        <w:ind w:left="916" w:hanging="632"/>
        <w:jc w:val="both"/>
      </w:pPr>
      <w:r w:rsidRPr="0045259A">
        <w:t xml:space="preserve">Sari, T. N. (2025). </w:t>
      </w:r>
      <w:r w:rsidRPr="0045259A">
        <w:rPr>
          <w:rStyle w:val="Emphasis"/>
        </w:rPr>
        <w:t>Public legal literacy and ownership certainty in land transactions in Yogyakarta: A socio</w:t>
      </w:r>
      <w:r w:rsidRPr="0045259A">
        <w:rPr>
          <w:rStyle w:val="Emphasis"/>
        </w:rPr>
        <w:noBreakHyphen/>
        <w:t>legal case study</w:t>
      </w:r>
      <w:r w:rsidRPr="0045259A">
        <w:t xml:space="preserve">. </w:t>
      </w:r>
      <w:proofErr w:type="spellStart"/>
      <w:r w:rsidRPr="0045259A">
        <w:rPr>
          <w:rStyle w:val="Strong"/>
          <w:b w:val="0"/>
          <w:bCs w:val="0"/>
        </w:rPr>
        <w:t>Saneskara</w:t>
      </w:r>
      <w:proofErr w:type="spellEnd"/>
      <w:r w:rsidRPr="0045259A">
        <w:rPr>
          <w:rStyle w:val="Strong"/>
          <w:b w:val="0"/>
          <w:bCs w:val="0"/>
        </w:rPr>
        <w:t>: Journal of Social Studies, 2</w:t>
      </w:r>
      <w:r w:rsidRPr="0045259A">
        <w:t xml:space="preserve">(2), 74–85. </w:t>
      </w:r>
      <w:hyperlink r:id="rId21" w:history="1">
        <w:r w:rsidRPr="0045259A">
          <w:rPr>
            <w:rStyle w:val="Hyperlink"/>
          </w:rPr>
          <w:t>https://doi.org/10.62491/sjss.v2i2.2025.52</w:t>
        </w:r>
      </w:hyperlink>
    </w:p>
    <w:p w14:paraId="5B2EF43F" w14:textId="77777777" w:rsidR="0045259A" w:rsidRPr="0045259A" w:rsidRDefault="0045259A" w:rsidP="0045259A">
      <w:pPr>
        <w:pStyle w:val="NormalWeb"/>
        <w:ind w:left="916" w:hanging="632"/>
        <w:jc w:val="both"/>
      </w:pPr>
      <w:proofErr w:type="spellStart"/>
      <w:r w:rsidRPr="0045259A">
        <w:t>Sutarjo</w:t>
      </w:r>
      <w:proofErr w:type="spellEnd"/>
      <w:r w:rsidRPr="0045259A">
        <w:t xml:space="preserve">, S. (2024). </w:t>
      </w:r>
      <w:r w:rsidRPr="0045259A">
        <w:rPr>
          <w:rStyle w:val="Emphasis"/>
        </w:rPr>
        <w:t>The role of land law in the politics of land procurement law for national development between public interest and land ownership rights</w:t>
      </w:r>
      <w:r w:rsidRPr="0045259A">
        <w:t xml:space="preserve">. International Journal of Education, Information Technology and Others (IJEIT), 7(2), 285-295. </w:t>
      </w:r>
      <w:hyperlink r:id="rId22" w:history="1">
        <w:r w:rsidRPr="0045259A">
          <w:rPr>
            <w:rStyle w:val="Hyperlink"/>
          </w:rPr>
          <w:t>https://doi.org/10.5281/zenodo.11195120</w:t>
        </w:r>
      </w:hyperlink>
      <w:r w:rsidRPr="0045259A">
        <w:rPr>
          <w:color w:val="0070C0"/>
        </w:rPr>
        <w:t xml:space="preserve"> </w:t>
      </w:r>
    </w:p>
    <w:p w14:paraId="335CEE6D" w14:textId="77777777" w:rsidR="0045259A" w:rsidRPr="0045259A" w:rsidRDefault="0045259A" w:rsidP="0045259A">
      <w:pPr>
        <w:pStyle w:val="NormalWeb"/>
        <w:ind w:left="916" w:hanging="632"/>
        <w:jc w:val="both"/>
      </w:pPr>
      <w:r w:rsidRPr="0045259A">
        <w:t xml:space="preserve">Nur Annisa, &amp; Siti </w:t>
      </w:r>
      <w:proofErr w:type="spellStart"/>
      <w:r w:rsidRPr="0045259A">
        <w:t>Nurhayati</w:t>
      </w:r>
      <w:proofErr w:type="spellEnd"/>
      <w:r w:rsidRPr="0045259A">
        <w:t xml:space="preserve"> (2023). </w:t>
      </w:r>
      <w:r w:rsidRPr="0045259A">
        <w:rPr>
          <w:rStyle w:val="Emphasis"/>
        </w:rPr>
        <w:t>Settlement of disputes over multiple land certificates related to ownership of land rights: Study at the Medan City Land Office</w:t>
      </w:r>
      <w:r w:rsidRPr="0045259A">
        <w:t xml:space="preserve">. </w:t>
      </w:r>
      <w:proofErr w:type="gramStart"/>
      <w:r w:rsidRPr="0045259A">
        <w:rPr>
          <w:rStyle w:val="Strong"/>
          <w:b w:val="0"/>
          <w:bCs w:val="0"/>
        </w:rPr>
        <w:t>LITERACY :</w:t>
      </w:r>
      <w:proofErr w:type="gramEnd"/>
      <w:r w:rsidRPr="0045259A">
        <w:rPr>
          <w:rStyle w:val="Strong"/>
          <w:b w:val="0"/>
          <w:bCs w:val="0"/>
        </w:rPr>
        <w:t xml:space="preserve"> International </w:t>
      </w:r>
      <w:r w:rsidRPr="0045259A">
        <w:rPr>
          <w:rStyle w:val="Strong"/>
          <w:b w:val="0"/>
          <w:bCs w:val="0"/>
        </w:rPr>
        <w:lastRenderedPageBreak/>
        <w:t>Scientific Journals of Social, Education, Humanities, 2</w:t>
      </w:r>
      <w:r w:rsidRPr="0045259A">
        <w:t xml:space="preserve">(3), 209–223. </w:t>
      </w:r>
      <w:hyperlink r:id="rId23" w:history="1">
        <w:r w:rsidRPr="0045259A">
          <w:rPr>
            <w:rStyle w:val="Hyperlink"/>
          </w:rPr>
          <w:t>https://doi.org/10.56910/literacy.v2i3.1099</w:t>
        </w:r>
      </w:hyperlink>
    </w:p>
    <w:p w14:paraId="0F33A7C3" w14:textId="77777777" w:rsidR="0045259A" w:rsidRPr="0045259A" w:rsidRDefault="0045259A" w:rsidP="0045259A">
      <w:pPr>
        <w:pStyle w:val="NormalWeb"/>
        <w:ind w:left="916" w:hanging="632"/>
        <w:jc w:val="both"/>
      </w:pPr>
      <w:proofErr w:type="spellStart"/>
      <w:r w:rsidRPr="0045259A">
        <w:rPr>
          <w:color w:val="222222"/>
          <w:shd w:val="clear" w:color="auto" w:fill="FFFFFF"/>
        </w:rPr>
        <w:t>Nuryasinta</w:t>
      </w:r>
      <w:proofErr w:type="spellEnd"/>
      <w:r w:rsidRPr="0045259A">
        <w:rPr>
          <w:color w:val="222222"/>
          <w:shd w:val="clear" w:color="auto" w:fill="FFFFFF"/>
        </w:rPr>
        <w:t xml:space="preserve">, R. K., &amp; Wardoyo, Y. P. (2024). Escalation of Community Legal Literacy in Resolving Land Disputes in </w:t>
      </w:r>
      <w:proofErr w:type="spellStart"/>
      <w:r w:rsidRPr="0045259A">
        <w:rPr>
          <w:color w:val="222222"/>
          <w:shd w:val="clear" w:color="auto" w:fill="FFFFFF"/>
        </w:rPr>
        <w:t>Bumiaji</w:t>
      </w:r>
      <w:proofErr w:type="spellEnd"/>
      <w:r w:rsidRPr="0045259A">
        <w:rPr>
          <w:color w:val="222222"/>
          <w:shd w:val="clear" w:color="auto" w:fill="FFFFFF"/>
        </w:rPr>
        <w:t xml:space="preserve"> Village, Batu City. </w:t>
      </w:r>
      <w:proofErr w:type="spellStart"/>
      <w:r w:rsidRPr="0045259A">
        <w:rPr>
          <w:i/>
          <w:iCs/>
          <w:color w:val="222222"/>
          <w:shd w:val="clear" w:color="auto" w:fill="FFFFFF"/>
        </w:rPr>
        <w:t>Jurnal</w:t>
      </w:r>
      <w:proofErr w:type="spellEnd"/>
      <w:r w:rsidRPr="0045259A">
        <w:rPr>
          <w:i/>
          <w:iCs/>
          <w:color w:val="222222"/>
          <w:shd w:val="clear" w:color="auto" w:fill="FFFFFF"/>
        </w:rPr>
        <w:t xml:space="preserve"> </w:t>
      </w:r>
      <w:proofErr w:type="spellStart"/>
      <w:r w:rsidRPr="0045259A">
        <w:rPr>
          <w:i/>
          <w:iCs/>
          <w:color w:val="222222"/>
          <w:shd w:val="clear" w:color="auto" w:fill="FFFFFF"/>
        </w:rPr>
        <w:t>Pengabdian</w:t>
      </w:r>
      <w:proofErr w:type="spellEnd"/>
      <w:r w:rsidRPr="0045259A">
        <w:rPr>
          <w:i/>
          <w:iCs/>
          <w:color w:val="222222"/>
          <w:shd w:val="clear" w:color="auto" w:fill="FFFFFF"/>
        </w:rPr>
        <w:t xml:space="preserve"> Hukum Indonesia (Indonesian Journal of Legal Community Engagement) JPHI</w:t>
      </w:r>
      <w:r w:rsidRPr="0045259A">
        <w:rPr>
          <w:color w:val="222222"/>
          <w:shd w:val="clear" w:color="auto" w:fill="FFFFFF"/>
        </w:rPr>
        <w:t>, </w:t>
      </w:r>
      <w:r w:rsidRPr="0045259A">
        <w:rPr>
          <w:i/>
          <w:iCs/>
          <w:color w:val="222222"/>
          <w:shd w:val="clear" w:color="auto" w:fill="FFFFFF"/>
        </w:rPr>
        <w:t>7</w:t>
      </w:r>
      <w:r w:rsidRPr="0045259A">
        <w:rPr>
          <w:color w:val="222222"/>
          <w:shd w:val="clear" w:color="auto" w:fill="FFFFFF"/>
        </w:rPr>
        <w:t>(2), 191-212.</w:t>
      </w:r>
      <w:hyperlink r:id="rId24" w:history="1">
        <w:r w:rsidRPr="0045259A">
          <w:rPr>
            <w:rStyle w:val="Hyperlink"/>
          </w:rPr>
          <w:t>https://doi.org/10.15294/jphi.v7i2.12734</w:t>
        </w:r>
      </w:hyperlink>
      <w:r w:rsidRPr="0045259A">
        <w:t xml:space="preserve">  </w:t>
      </w:r>
    </w:p>
    <w:p w14:paraId="4BB7A75A" w14:textId="77777777" w:rsidR="0045259A" w:rsidRPr="0045259A" w:rsidRDefault="0045259A" w:rsidP="0045259A">
      <w:pPr>
        <w:pStyle w:val="NormalWeb"/>
        <w:ind w:left="916" w:hanging="632"/>
        <w:jc w:val="both"/>
      </w:pPr>
      <w:r w:rsidRPr="0045259A">
        <w:t xml:space="preserve">Mohamad, A. R., &amp; Djaja, B. (2025). </w:t>
      </w:r>
      <w:r w:rsidRPr="0045259A">
        <w:rPr>
          <w:rStyle w:val="Emphasis"/>
        </w:rPr>
        <w:t>Effectiveness of legal protection for land rights certificate holders against unlawful claims</w:t>
      </w:r>
      <w:r w:rsidRPr="0045259A">
        <w:t xml:space="preserve">. </w:t>
      </w:r>
      <w:r w:rsidRPr="0045259A">
        <w:rPr>
          <w:rStyle w:val="Strong"/>
          <w:b w:val="0"/>
          <w:bCs w:val="0"/>
        </w:rPr>
        <w:t>Awang Long Law Review</w:t>
      </w:r>
      <w:r w:rsidRPr="0045259A">
        <w:t xml:space="preserve">, 7(2), 402–409. </w:t>
      </w:r>
      <w:hyperlink r:id="rId25" w:history="1">
        <w:r w:rsidRPr="0045259A">
          <w:rPr>
            <w:rStyle w:val="Hyperlink"/>
            <w:color w:val="114AFF"/>
            <w:shd w:val="clear" w:color="auto" w:fill="FFFFFF"/>
          </w:rPr>
          <w:t>https://doi.org/10.56301/awl.v8i1.1807</w:t>
        </w:r>
      </w:hyperlink>
      <w:r w:rsidRPr="0045259A">
        <w:rPr>
          <w:color w:val="0070C0"/>
        </w:rPr>
        <w:t xml:space="preserve"> </w:t>
      </w:r>
    </w:p>
    <w:p w14:paraId="5F9BF46C" w14:textId="77777777" w:rsidR="0045259A" w:rsidRPr="0045259A" w:rsidRDefault="0045259A" w:rsidP="0045259A">
      <w:pPr>
        <w:pStyle w:val="NormalWeb"/>
        <w:ind w:left="916" w:hanging="632"/>
        <w:jc w:val="both"/>
      </w:pPr>
      <w:r w:rsidRPr="0045259A">
        <w:t xml:space="preserve">Sari, T. N. (2025). </w:t>
      </w:r>
      <w:r w:rsidRPr="0045259A">
        <w:rPr>
          <w:rStyle w:val="Emphasis"/>
        </w:rPr>
        <w:t>Public legal literacy and ownership certainty in land transactions: A socio-legal case</w:t>
      </w:r>
      <w:r w:rsidRPr="0045259A">
        <w:t xml:space="preserve">. </w:t>
      </w:r>
      <w:proofErr w:type="spellStart"/>
      <w:r w:rsidRPr="0045259A">
        <w:rPr>
          <w:rStyle w:val="Strong"/>
          <w:b w:val="0"/>
          <w:bCs w:val="0"/>
        </w:rPr>
        <w:t>Saneskara</w:t>
      </w:r>
      <w:proofErr w:type="spellEnd"/>
      <w:r w:rsidRPr="0045259A">
        <w:rPr>
          <w:rStyle w:val="Strong"/>
          <w:b w:val="0"/>
          <w:bCs w:val="0"/>
        </w:rPr>
        <w:t>: Journal of Social Studies</w:t>
      </w:r>
      <w:r w:rsidRPr="0045259A">
        <w:t xml:space="preserve">, Vol. 2 No. 2. </w:t>
      </w:r>
      <w:hyperlink r:id="rId26" w:history="1">
        <w:r w:rsidRPr="0045259A">
          <w:rPr>
            <w:rStyle w:val="Hyperlink"/>
            <w:color w:val="114AFF"/>
          </w:rPr>
          <w:t>https://doi.org/10.62491/sjss.v2i2.2025.52</w:t>
        </w:r>
      </w:hyperlink>
      <w:r w:rsidRPr="0045259A">
        <w:rPr>
          <w:color w:val="114AFF"/>
        </w:rPr>
        <w:t xml:space="preserve"> </w:t>
      </w:r>
    </w:p>
    <w:p w14:paraId="7CFCAD12" w14:textId="77777777" w:rsidR="0045259A" w:rsidRPr="0045259A" w:rsidRDefault="0045259A" w:rsidP="0045259A">
      <w:pPr>
        <w:pStyle w:val="NormalWeb"/>
        <w:ind w:left="916" w:hanging="632"/>
        <w:jc w:val="both"/>
      </w:pPr>
      <w:r w:rsidRPr="0045259A">
        <w:t xml:space="preserve">Fuad, F., </w:t>
      </w:r>
      <w:proofErr w:type="spellStart"/>
      <w:r w:rsidRPr="0045259A">
        <w:t>Tardjono</w:t>
      </w:r>
      <w:proofErr w:type="spellEnd"/>
      <w:r w:rsidRPr="0045259A">
        <w:t xml:space="preserve">, H., Machmud, A. et al. (2024). </w:t>
      </w:r>
      <w:r w:rsidRPr="0045259A">
        <w:rPr>
          <w:rStyle w:val="Emphasis"/>
        </w:rPr>
        <w:t>Ownership of land: Legal philosophy and culture analysis of land property rights</w:t>
      </w:r>
      <w:r w:rsidRPr="0045259A">
        <w:t xml:space="preserve">. </w:t>
      </w:r>
      <w:proofErr w:type="spellStart"/>
      <w:r w:rsidRPr="0045259A">
        <w:rPr>
          <w:rStyle w:val="Strong"/>
          <w:b w:val="0"/>
          <w:bCs w:val="0"/>
        </w:rPr>
        <w:t>Jurnal</w:t>
      </w:r>
      <w:proofErr w:type="spellEnd"/>
      <w:r w:rsidRPr="0045259A">
        <w:rPr>
          <w:rStyle w:val="Strong"/>
          <w:b w:val="0"/>
          <w:bCs w:val="0"/>
        </w:rPr>
        <w:t xml:space="preserve"> Media Hukum</w:t>
      </w:r>
      <w:r w:rsidRPr="0045259A">
        <w:t xml:space="preserve">, 30(2). </w:t>
      </w:r>
      <w:hyperlink r:id="rId27" w:history="1">
        <w:r w:rsidRPr="0045259A">
          <w:rPr>
            <w:rStyle w:val="Hyperlink"/>
          </w:rPr>
          <w:t>https://doi.org/10.18196/jmh.v30i2.18264</w:t>
        </w:r>
      </w:hyperlink>
      <w:r w:rsidRPr="0045259A">
        <w:t xml:space="preserve">  </w:t>
      </w:r>
    </w:p>
    <w:p w14:paraId="6436C9EF" w14:textId="77777777" w:rsidR="00072C2E" w:rsidRDefault="00072C2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color w:val="000000"/>
          <w:sz w:val="24"/>
          <w:szCs w:val="24"/>
        </w:rPr>
      </w:pPr>
    </w:p>
    <w:sectPr w:rsidR="00072C2E">
      <w:headerReference w:type="even" r:id="rId28"/>
      <w:headerReference w:type="default" r:id="rId29"/>
      <w:footerReference w:type="even" r:id="rId30"/>
      <w:footerReference w:type="default" r:id="rId31"/>
      <w:headerReference w:type="first" r:id="rId32"/>
      <w:footerReference w:type="first" r:id="rId33"/>
      <w:pgSz w:w="12240" w:h="15840"/>
      <w:pgMar w:top="1134" w:right="1134" w:bottom="1134"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05A4D" w14:textId="77777777" w:rsidR="00DD7DB7" w:rsidRDefault="00DD7DB7">
      <w:pPr>
        <w:spacing w:after="0" w:line="240" w:lineRule="auto"/>
      </w:pPr>
      <w:r>
        <w:separator/>
      </w:r>
    </w:p>
  </w:endnote>
  <w:endnote w:type="continuationSeparator" w:id="0">
    <w:p w14:paraId="7D312732" w14:textId="77777777" w:rsidR="00DD7DB7" w:rsidRDefault="00DD7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BF8836F-B935-441A-BD8F-F8087B2685F3}"/>
    <w:embedBold r:id="rId2" w:fontKey="{CB08A42A-D33D-43D9-83D7-881C4DE9259A}"/>
    <w:embedItalic r:id="rId3" w:fontKey="{EC681AEE-83E3-4057-BC88-DFF15F73DFE5}"/>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FE7B8145-C1B6-481A-9729-5CCD729A8E06}"/>
  </w:font>
  <w:font w:name="Georgia">
    <w:panose1 w:val="02040502050405020303"/>
    <w:charset w:val="00"/>
    <w:family w:val="roman"/>
    <w:pitch w:val="variable"/>
    <w:sig w:usb0="00000287" w:usb1="00000000" w:usb2="00000000" w:usb3="00000000" w:csb0="0000009F" w:csb1="00000000"/>
    <w:embedItalic r:id="rId5" w:fontKey="{24CFCE4D-F5E1-425E-8708-413DA6E0DA15}"/>
  </w:font>
  <w:font w:name="Calibri Light">
    <w:panose1 w:val="020F0302020204030204"/>
    <w:charset w:val="00"/>
    <w:family w:val="swiss"/>
    <w:pitch w:val="variable"/>
    <w:sig w:usb0="E4002EFF" w:usb1="C200247B" w:usb2="00000009" w:usb3="00000000" w:csb0="000001FF" w:csb1="00000000"/>
    <w:embedRegular r:id="rId6" w:fontKey="{11F62A39-84FF-468F-871A-51FC22B6E4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BA147" w14:textId="77777777" w:rsidR="00072C2E" w:rsidRDefault="00DD7DB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D7F62">
      <w:rPr>
        <w:noProof/>
        <w:color w:val="000000"/>
      </w:rPr>
      <w:t>2</w:t>
    </w:r>
    <w:r>
      <w:rPr>
        <w:color w:val="000000"/>
      </w:rPr>
      <w:fldChar w:fldCharType="end"/>
    </w:r>
    <w:r>
      <w:rPr>
        <w:color w:val="000000"/>
      </w:rPr>
      <w:t xml:space="preserve"> | </w:t>
    </w:r>
    <w:r>
      <w:rPr>
        <w:rFonts w:ascii="Times New Roman" w:eastAsia="Times New Roman" w:hAnsi="Times New Roman" w:cs="Times New Roman"/>
        <w:b/>
        <w:bCs/>
        <w:i/>
        <w:iCs/>
      </w:rPr>
      <w:t>The title of the manuscript is short and clear, implying the results of the research.</w:t>
    </w:r>
    <w:r>
      <w:rPr>
        <w:rFonts w:ascii="Times New Roman" w:eastAsia="Times New Roman" w:hAnsi="Times New Roman" w:cs="Times New Roman"/>
        <w:i/>
        <w:iCs/>
      </w:rPr>
      <w:t xml:space="preserve"> </w:t>
    </w:r>
    <w:r>
      <w:rPr>
        <w:rFonts w:ascii="Times New Roman" w:eastAsia="Times New Roman" w:hAnsi="Times New Roman" w:cs="Times New Roman"/>
      </w:rPr>
      <w:t>(First Author's)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83ED" w14:textId="3A66FE1A" w:rsidR="00072C2E" w:rsidRDefault="00DD7DB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D7F62">
      <w:rPr>
        <w:noProof/>
        <w:color w:val="000000"/>
      </w:rPr>
      <w:t>3</w:t>
    </w:r>
    <w:r>
      <w:rPr>
        <w:color w:val="000000"/>
      </w:rPr>
      <w:fldChar w:fldCharType="end"/>
    </w:r>
    <w:r>
      <w:rPr>
        <w:color w:val="000000"/>
      </w:rPr>
      <w:t xml:space="preserve"> |</w:t>
    </w:r>
    <w:r>
      <w:rPr>
        <w:rFonts w:ascii="Times New Roman" w:eastAsia="Times New Roman" w:hAnsi="Times New Roman" w:cs="Times New Roman"/>
        <w:b/>
        <w:bCs/>
        <w:i/>
        <w:iCs/>
      </w:rPr>
      <w:t>The title of the manuscript is short and clear, implying the results of the research.</w:t>
    </w:r>
    <w:r>
      <w:rPr>
        <w:rFonts w:ascii="Times New Roman" w:eastAsia="Times New Roman" w:hAnsi="Times New Roman" w:cs="Times New Roman"/>
        <w:i/>
        <w:iCs/>
      </w:rPr>
      <w:t xml:space="preserve"> </w:t>
    </w:r>
    <w:r>
      <w:rPr>
        <w:rFonts w:ascii="Times New Roman" w:eastAsia="Times New Roman" w:hAnsi="Times New Roman" w:cs="Times New Roman"/>
      </w:rPr>
      <w:t>(First Author's)</w:t>
    </w:r>
  </w:p>
  <w:p w14:paraId="389E087E" w14:textId="77777777" w:rsidR="00072C2E" w:rsidRDefault="00072C2E">
    <w:pPr>
      <w:pBdr>
        <w:top w:val="single" w:sz="4" w:space="1" w:color="D9D9D9"/>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6A207" w14:textId="77777777" w:rsidR="00072C2E" w:rsidRDefault="00DD7DB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D7F62">
      <w:rPr>
        <w:noProof/>
        <w:color w:val="000000"/>
      </w:rPr>
      <w:t>1</w:t>
    </w:r>
    <w:r>
      <w:rPr>
        <w:color w:val="000000"/>
      </w:rPr>
      <w:fldChar w:fldCharType="end"/>
    </w:r>
    <w:r>
      <w:rPr>
        <w:color w:val="000000"/>
      </w:rPr>
      <w:t xml:space="preserve"> | </w:t>
    </w:r>
    <w:r>
      <w:rPr>
        <w:rFonts w:ascii="Times New Roman" w:eastAsia="Times New Roman" w:hAnsi="Times New Roman" w:cs="Times New Roman"/>
        <w:b/>
        <w:bCs/>
        <w:i/>
        <w:iCs/>
      </w:rPr>
      <w:t>The title of the manuscript is short and clear, implying the results of the research.</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(First </w:t>
    </w:r>
    <w:r>
      <w:rPr>
        <w:rFonts w:ascii="Times New Roman" w:eastAsia="Times New Roman" w:hAnsi="Times New Roman" w:cs="Times New Roman"/>
      </w:rPr>
      <w:t>Author's</w:t>
    </w:r>
    <w:r>
      <w:rPr>
        <w:rFonts w:ascii="Times New Roman" w:eastAsia="Times New Roman" w:hAnsi="Times New Roman" w:cs="Times New Roman"/>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C60A7" w14:textId="77777777" w:rsidR="00DD7DB7" w:rsidRDefault="00DD7DB7">
      <w:pPr>
        <w:spacing w:after="0" w:line="240" w:lineRule="auto"/>
      </w:pPr>
      <w:r>
        <w:separator/>
      </w:r>
    </w:p>
  </w:footnote>
  <w:footnote w:type="continuationSeparator" w:id="0">
    <w:p w14:paraId="6B2A2E01" w14:textId="77777777" w:rsidR="00DD7DB7" w:rsidRDefault="00DD7D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B29C1" w14:textId="77777777" w:rsidR="00072C2E" w:rsidRDefault="00DD7DB7">
    <w:pPr>
      <w:pBdr>
        <w:top w:val="nil"/>
        <w:left w:val="nil"/>
        <w:bottom w:val="nil"/>
        <w:right w:val="nil"/>
        <w:between w:val="nil"/>
      </w:pBdr>
      <w:tabs>
        <w:tab w:val="center" w:pos="4680"/>
        <w:tab w:val="right" w:pos="9360"/>
        <w:tab w:val="right" w:pos="851"/>
        <w:tab w:val="left" w:pos="3405"/>
        <w:tab w:val="right" w:pos="9639"/>
      </w:tabs>
      <w:spacing w:after="0" w:line="240" w:lineRule="auto"/>
      <w:rPr>
        <w:color w:val="000000"/>
      </w:rPr>
    </w:pPr>
    <w:r>
      <w:rPr>
        <w:color w:val="000000"/>
      </w:rPr>
      <w:t xml:space="preserve"> </w:t>
    </w:r>
    <w:r>
      <w:rPr>
        <w:color w:val="000000"/>
      </w:rPr>
      <w:tab/>
      <w:t xml:space="preserve"> </w:t>
    </w:r>
    <w:r>
      <w:rPr>
        <w:color w:val="000000"/>
      </w:rPr>
      <w:tab/>
    </w:r>
    <w:r>
      <w:rPr>
        <w:color w:val="000000"/>
      </w:rPr>
      <w:tab/>
    </w:r>
    <w:r>
      <w:rPr>
        <w:color w:val="000000"/>
      </w:rPr>
      <w:tab/>
      <w:t xml:space="preserve">                     ISSN: </w:t>
    </w:r>
    <w:proofErr w:type="spellStart"/>
    <w:r>
      <w:rPr>
        <w:color w:val="000000"/>
      </w:rPr>
      <w:t>xxxx-xxxx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96DD3" w14:textId="77777777" w:rsidR="00072C2E" w:rsidRDefault="00DD7DB7">
    <w:pPr>
      <w:pBdr>
        <w:top w:val="nil"/>
        <w:left w:val="nil"/>
        <w:bottom w:val="nil"/>
        <w:right w:val="nil"/>
        <w:between w:val="nil"/>
      </w:pBdr>
      <w:tabs>
        <w:tab w:val="center" w:pos="4680"/>
        <w:tab w:val="right" w:pos="9360"/>
        <w:tab w:val="right" w:pos="851"/>
        <w:tab w:val="left" w:pos="3405"/>
        <w:tab w:val="right" w:pos="9639"/>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ISSN: </w:t>
    </w:r>
    <w:proofErr w:type="spellStart"/>
    <w:r>
      <w:rPr>
        <w:rFonts w:ascii="Times New Roman" w:eastAsia="Times New Roman" w:hAnsi="Times New Roman" w:cs="Times New Roman"/>
        <w:color w:val="000000"/>
      </w:rPr>
      <w:t>xxxx-xxxx</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902C6" w14:textId="77777777" w:rsidR="00072C2E" w:rsidRDefault="00DD7DB7">
    <w:pPr>
      <w:pBdr>
        <w:top w:val="nil"/>
        <w:left w:val="nil"/>
        <w:bottom w:val="nil"/>
        <w:right w:val="nil"/>
        <w:between w:val="nil"/>
      </w:pBdr>
      <w:tabs>
        <w:tab w:val="center" w:pos="4680"/>
        <w:tab w:val="right" w:pos="9360"/>
      </w:tabs>
      <w:spacing w:after="0" w:line="240" w:lineRule="auto"/>
      <w:ind w:right="45"/>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JISIP (</w:t>
    </w:r>
    <w:proofErr w:type="spellStart"/>
    <w:r>
      <w:rPr>
        <w:rFonts w:ascii="Times New Roman" w:eastAsia="Times New Roman" w:hAnsi="Times New Roman" w:cs="Times New Roman"/>
        <w:b/>
        <w:bCs/>
        <w:color w:val="000000"/>
        <w:sz w:val="24"/>
        <w:szCs w:val="24"/>
      </w:rPr>
      <w:t>Jurnal</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Ilmu</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Sosial</w:t>
    </w:r>
    <w:proofErr w:type="spellEnd"/>
    <w:r>
      <w:rPr>
        <w:rFonts w:ascii="Times New Roman" w:eastAsia="Times New Roman" w:hAnsi="Times New Roman" w:cs="Times New Roman"/>
        <w:b/>
        <w:bCs/>
        <w:color w:val="000000"/>
        <w:sz w:val="24"/>
        <w:szCs w:val="24"/>
      </w:rPr>
      <w:t xml:space="preserve"> dan Pendidikan</w:t>
    </w:r>
    <w:r>
      <w:rPr>
        <w:rFonts w:ascii="Times New Roman" w:eastAsia="Times New Roman" w:hAnsi="Times New Roman" w:cs="Times New Roman"/>
        <w:b/>
        <w:bCs/>
        <w:sz w:val="24"/>
        <w:szCs w:val="24"/>
      </w:rPr>
      <w:t>)</w:t>
    </w:r>
  </w:p>
  <w:p w14:paraId="573C4935" w14:textId="77777777" w:rsidR="00072C2E" w:rsidRDefault="00DD7DB7">
    <w:pPr>
      <w:pBdr>
        <w:top w:val="nil"/>
        <w:left w:val="nil"/>
        <w:bottom w:val="nil"/>
        <w:right w:val="nil"/>
        <w:between w:val="nil"/>
      </w:pBdr>
      <w:tabs>
        <w:tab w:val="center" w:pos="4680"/>
        <w:tab w:val="right" w:pos="9360"/>
      </w:tabs>
      <w:spacing w:after="0" w:line="240" w:lineRule="auto"/>
      <w:ind w:right="45"/>
      <w:rPr>
        <w:rFonts w:ascii="Times New Roman" w:eastAsia="Times New Roman" w:hAnsi="Times New Roman" w:cs="Times New Roman"/>
        <w:color w:val="000000"/>
      </w:rPr>
    </w:pPr>
    <w:r>
      <w:rPr>
        <w:rFonts w:ascii="Times New Roman" w:eastAsia="Times New Roman" w:hAnsi="Times New Roman" w:cs="Times New Roman"/>
        <w:color w:val="000000"/>
      </w:rPr>
      <w:t xml:space="preserve">Vol. x, No. x, </w:t>
    </w:r>
    <w:proofErr w:type="gramStart"/>
    <w:r>
      <w:rPr>
        <w:rFonts w:ascii="Times New Roman" w:eastAsia="Times New Roman" w:hAnsi="Times New Roman" w:cs="Times New Roman"/>
        <w:color w:val="000000"/>
      </w:rPr>
      <w:t xml:space="preserve">Bulan  </w:t>
    </w:r>
    <w:proofErr w:type="spellStart"/>
    <w:r>
      <w:rPr>
        <w:rFonts w:ascii="Times New Roman" w:eastAsia="Times New Roman" w:hAnsi="Times New Roman" w:cs="Times New Roman"/>
        <w:color w:val="000000"/>
      </w:rPr>
      <w:t>Tahun</w:t>
    </w:r>
    <w:proofErr w:type="spellEnd"/>
    <w:proofErr w:type="gramEnd"/>
  </w:p>
  <w:p w14:paraId="3ED169F2" w14:textId="77777777" w:rsidR="00072C2E" w:rsidRDefault="00DD7DB7">
    <w:pPr>
      <w:spacing w:after="0"/>
      <w:jc w:val="both"/>
      <w:rPr>
        <w:rFonts w:ascii="Times New Roman" w:eastAsia="Times New Roman" w:hAnsi="Times New Roman" w:cs="Times New Roman"/>
        <w:i/>
        <w:iCs/>
      </w:rPr>
    </w:pPr>
    <w:r>
      <w:rPr>
        <w:rFonts w:ascii="Times New Roman" w:eastAsia="Times New Roman" w:hAnsi="Times New Roman" w:cs="Times New Roman"/>
        <w:i/>
        <w:iCs/>
      </w:rPr>
      <w:t>e-ISSN</w:t>
    </w:r>
    <w:r>
      <w:rPr>
        <w:rFonts w:ascii="Times New Roman" w:eastAsia="Times New Roman" w:hAnsi="Times New Roman" w:cs="Times New Roman"/>
        <w:i/>
        <w:iCs/>
      </w:rPr>
      <w:tab/>
      <w:t>: 2656-6753, p-ISSN: 2598-9944</w:t>
    </w:r>
  </w:p>
  <w:p w14:paraId="02DA2DC7" w14:textId="77777777" w:rsidR="00072C2E" w:rsidRDefault="00DD7DB7">
    <w:pPr>
      <w:pBdr>
        <w:top w:val="nil"/>
        <w:left w:val="nil"/>
        <w:bottom w:val="nil"/>
        <w:right w:val="nil"/>
        <w:between w:val="nil"/>
      </w:pBdr>
      <w:tabs>
        <w:tab w:val="center" w:pos="4680"/>
        <w:tab w:val="right" w:pos="9360"/>
      </w:tabs>
      <w:spacing w:after="0" w:line="240" w:lineRule="auto"/>
      <w:rPr>
        <w:i/>
        <w:iCs/>
        <w:color w:val="000000"/>
        <w:sz w:val="28"/>
        <w:szCs w:val="28"/>
      </w:rPr>
    </w:pPr>
    <w:r>
      <w:rPr>
        <w:rFonts w:ascii="Times New Roman" w:eastAsia="Times New Roman" w:hAnsi="Times New Roman" w:cs="Times New Roman"/>
        <w:color w:val="000000"/>
      </w:rPr>
      <w:t xml:space="preserve">DOI: </w:t>
    </w:r>
    <w:hyperlink r:id="rId1">
      <w:r>
        <w:rPr>
          <w:rFonts w:ascii="Times New Roman" w:eastAsia="Times New Roman" w:hAnsi="Times New Roman" w:cs="Times New Roman"/>
          <w:color w:val="0000FF"/>
          <w:u w:val="single"/>
        </w:rPr>
        <w:t>10.36312/jisip.v5i2.xxxx</w:t>
      </w:r>
    </w:hyperlink>
    <w:r>
      <w:rPr>
        <w:rFonts w:ascii="Times New Roman" w:eastAsia="Times New Roman" w:hAnsi="Times New Roman" w:cs="Times New Roman"/>
        <w:i/>
        <w:iCs/>
        <w:color w:val="0000FF"/>
        <w:u w:val="single"/>
      </w:rPr>
      <w:t>.https://ejournal.mandalanursa.org/index.php/JISIP/index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915A6"/>
    <w:multiLevelType w:val="multilevel"/>
    <w:tmpl w:val="786C3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B317A3"/>
    <w:multiLevelType w:val="hybridMultilevel"/>
    <w:tmpl w:val="A63CE470"/>
    <w:lvl w:ilvl="0" w:tplc="41A4AAF8">
      <w:start w:val="1"/>
      <w:numFmt w:val="lowerLetter"/>
      <w:lvlText w:val="%1."/>
      <w:lvlJc w:val="left"/>
      <w:pPr>
        <w:ind w:left="1570" w:hanging="360"/>
      </w:pPr>
      <w:rPr>
        <w:sz w:val="24"/>
        <w:szCs w:val="24"/>
      </w:rPr>
    </w:lvl>
    <w:lvl w:ilvl="1" w:tplc="38090019" w:tentative="1">
      <w:start w:val="1"/>
      <w:numFmt w:val="lowerLetter"/>
      <w:lvlText w:val="%2."/>
      <w:lvlJc w:val="left"/>
      <w:pPr>
        <w:ind w:left="2290" w:hanging="360"/>
      </w:pPr>
    </w:lvl>
    <w:lvl w:ilvl="2" w:tplc="3809001B" w:tentative="1">
      <w:start w:val="1"/>
      <w:numFmt w:val="lowerRoman"/>
      <w:lvlText w:val="%3."/>
      <w:lvlJc w:val="right"/>
      <w:pPr>
        <w:ind w:left="3010" w:hanging="180"/>
      </w:pPr>
    </w:lvl>
    <w:lvl w:ilvl="3" w:tplc="3809000F" w:tentative="1">
      <w:start w:val="1"/>
      <w:numFmt w:val="decimal"/>
      <w:lvlText w:val="%4."/>
      <w:lvlJc w:val="left"/>
      <w:pPr>
        <w:ind w:left="3730" w:hanging="360"/>
      </w:pPr>
    </w:lvl>
    <w:lvl w:ilvl="4" w:tplc="38090019" w:tentative="1">
      <w:start w:val="1"/>
      <w:numFmt w:val="lowerLetter"/>
      <w:lvlText w:val="%5."/>
      <w:lvlJc w:val="left"/>
      <w:pPr>
        <w:ind w:left="4450" w:hanging="360"/>
      </w:pPr>
    </w:lvl>
    <w:lvl w:ilvl="5" w:tplc="3809001B" w:tentative="1">
      <w:start w:val="1"/>
      <w:numFmt w:val="lowerRoman"/>
      <w:lvlText w:val="%6."/>
      <w:lvlJc w:val="right"/>
      <w:pPr>
        <w:ind w:left="5170" w:hanging="180"/>
      </w:pPr>
    </w:lvl>
    <w:lvl w:ilvl="6" w:tplc="3809000F" w:tentative="1">
      <w:start w:val="1"/>
      <w:numFmt w:val="decimal"/>
      <w:lvlText w:val="%7."/>
      <w:lvlJc w:val="left"/>
      <w:pPr>
        <w:ind w:left="5890" w:hanging="360"/>
      </w:pPr>
    </w:lvl>
    <w:lvl w:ilvl="7" w:tplc="38090019" w:tentative="1">
      <w:start w:val="1"/>
      <w:numFmt w:val="lowerLetter"/>
      <w:lvlText w:val="%8."/>
      <w:lvlJc w:val="left"/>
      <w:pPr>
        <w:ind w:left="6610" w:hanging="360"/>
      </w:pPr>
    </w:lvl>
    <w:lvl w:ilvl="8" w:tplc="3809001B" w:tentative="1">
      <w:start w:val="1"/>
      <w:numFmt w:val="lowerRoman"/>
      <w:lvlText w:val="%9."/>
      <w:lvlJc w:val="right"/>
      <w:pPr>
        <w:ind w:left="7330" w:hanging="180"/>
      </w:pPr>
    </w:lvl>
  </w:abstractNum>
  <w:abstractNum w:abstractNumId="2" w15:restartNumberingAfterBreak="0">
    <w:nsid w:val="37CC557D"/>
    <w:multiLevelType w:val="multilevel"/>
    <w:tmpl w:val="E886E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8E3224"/>
    <w:multiLevelType w:val="multilevel"/>
    <w:tmpl w:val="5588D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C1092F"/>
    <w:multiLevelType w:val="multilevel"/>
    <w:tmpl w:val="05D65EE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42F0269A"/>
    <w:multiLevelType w:val="multilevel"/>
    <w:tmpl w:val="BA083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1A82B1F"/>
    <w:multiLevelType w:val="multilevel"/>
    <w:tmpl w:val="5588D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968607B"/>
    <w:multiLevelType w:val="multilevel"/>
    <w:tmpl w:val="5588D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6"/>
  </w:num>
  <w:num w:numId="4">
    <w:abstractNumId w:val="0"/>
  </w:num>
  <w:num w:numId="5">
    <w:abstractNumId w:val="5"/>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C2E"/>
    <w:rsid w:val="00072C2E"/>
    <w:rsid w:val="000D5627"/>
    <w:rsid w:val="0045259A"/>
    <w:rsid w:val="004D1BC9"/>
    <w:rsid w:val="005D7F62"/>
    <w:rsid w:val="00630822"/>
    <w:rsid w:val="00724D24"/>
    <w:rsid w:val="007B49E4"/>
    <w:rsid w:val="00DB3D61"/>
    <w:rsid w:val="00DD7DB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8133D"/>
  <w15:docId w15:val="{E16BF8D0-5E76-4CF7-AC69-6D12E9144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TMLPreformatted">
    <w:name w:val="HTML Preformatted"/>
    <w:basedOn w:val="Normal"/>
    <w:link w:val="HTMLPreformattedChar"/>
    <w:uiPriority w:val="99"/>
    <w:unhideWhenUsed/>
    <w:rsid w:val="00CF64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F64D8"/>
    <w:rPr>
      <w:rFonts w:ascii="Courier New" w:eastAsia="Times New Roman" w:hAnsi="Courier New" w:cs="Courier New"/>
      <w:sz w:val="20"/>
      <w:szCs w:val="20"/>
    </w:rPr>
  </w:style>
  <w:style w:type="character" w:customStyle="1" w:styleId="y2iqfc">
    <w:name w:val="y2iqfc"/>
    <w:basedOn w:val="DefaultParagraphFont"/>
    <w:rsid w:val="00CF64D8"/>
  </w:style>
  <w:style w:type="paragraph" w:styleId="Header">
    <w:name w:val="header"/>
    <w:basedOn w:val="Normal"/>
    <w:link w:val="HeaderChar"/>
    <w:uiPriority w:val="99"/>
    <w:unhideWhenUsed/>
    <w:rsid w:val="00CF6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4D8"/>
  </w:style>
  <w:style w:type="paragraph" w:styleId="Footer">
    <w:name w:val="footer"/>
    <w:basedOn w:val="Normal"/>
    <w:link w:val="FooterChar"/>
    <w:uiPriority w:val="99"/>
    <w:unhideWhenUsed/>
    <w:rsid w:val="00CF6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4D8"/>
  </w:style>
  <w:style w:type="character" w:styleId="PageNumber">
    <w:name w:val="page number"/>
    <w:basedOn w:val="DefaultParagraphFont"/>
    <w:rsid w:val="00CF64D8"/>
  </w:style>
  <w:style w:type="character" w:styleId="Hyperlink">
    <w:name w:val="Hyperlink"/>
    <w:basedOn w:val="DefaultParagraphFont"/>
    <w:uiPriority w:val="99"/>
    <w:unhideWhenUsed/>
    <w:rsid w:val="00CF64D8"/>
    <w:rPr>
      <w:color w:val="0000FF"/>
      <w:u w:val="single"/>
    </w:rPr>
  </w:style>
  <w:style w:type="character" w:styleId="UnresolvedMention">
    <w:name w:val="Unresolved Mention"/>
    <w:basedOn w:val="DefaultParagraphFont"/>
    <w:uiPriority w:val="99"/>
    <w:semiHidden/>
    <w:unhideWhenUsed/>
    <w:rsid w:val="00CF64D8"/>
    <w:rPr>
      <w:color w:val="605E5C"/>
      <w:shd w:val="clear" w:color="auto" w:fill="E1DFDD"/>
    </w:rPr>
  </w:style>
  <w:style w:type="table" w:styleId="TableGrid">
    <w:name w:val="Table Grid"/>
    <w:basedOn w:val="TableNormal"/>
    <w:rsid w:val="00CF6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47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737"/>
    <w:rPr>
      <w:rFonts w:ascii="Segoe UI" w:hAnsi="Segoe UI" w:cs="Segoe UI"/>
      <w:sz w:val="18"/>
      <w:szCs w:val="18"/>
    </w:rPr>
  </w:style>
  <w:style w:type="character" w:styleId="FollowedHyperlink">
    <w:name w:val="FollowedHyperlink"/>
    <w:basedOn w:val="DefaultParagraphFont"/>
    <w:uiPriority w:val="99"/>
    <w:semiHidden/>
    <w:unhideWhenUsed/>
    <w:rsid w:val="00D64737"/>
    <w:rPr>
      <w:color w:val="954F72" w:themeColor="followedHyperlink"/>
      <w:u w:val="single"/>
    </w:rPr>
  </w:style>
  <w:style w:type="paragraph" w:styleId="ListParagraph">
    <w:name w:val="List Paragraph"/>
    <w:basedOn w:val="Normal"/>
    <w:uiPriority w:val="34"/>
    <w:qFormat/>
    <w:rsid w:val="00C906F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5D7F62"/>
    <w:pPr>
      <w:spacing w:before="100" w:beforeAutospacing="1" w:after="100" w:afterAutospacing="1" w:line="240" w:lineRule="auto"/>
    </w:pPr>
    <w:rPr>
      <w:rFonts w:ascii="Times New Roman" w:eastAsia="Times New Roman" w:hAnsi="Times New Roman" w:cs="Times New Roman"/>
      <w:sz w:val="24"/>
      <w:szCs w:val="24"/>
      <w:lang w:val="en-ID"/>
    </w:rPr>
  </w:style>
  <w:style w:type="character" w:styleId="Strong">
    <w:name w:val="Strong"/>
    <w:basedOn w:val="DefaultParagraphFont"/>
    <w:uiPriority w:val="22"/>
    <w:qFormat/>
    <w:rsid w:val="005D7F62"/>
    <w:rPr>
      <w:b/>
      <w:bCs/>
    </w:rPr>
  </w:style>
  <w:style w:type="character" w:styleId="Emphasis">
    <w:name w:val="Emphasis"/>
    <w:basedOn w:val="DefaultParagraphFont"/>
    <w:uiPriority w:val="20"/>
    <w:qFormat/>
    <w:rsid w:val="00DB3D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2528">
      <w:bodyDiv w:val="1"/>
      <w:marLeft w:val="0"/>
      <w:marRight w:val="0"/>
      <w:marTop w:val="0"/>
      <w:marBottom w:val="0"/>
      <w:divBdr>
        <w:top w:val="none" w:sz="0" w:space="0" w:color="auto"/>
        <w:left w:val="none" w:sz="0" w:space="0" w:color="auto"/>
        <w:bottom w:val="none" w:sz="0" w:space="0" w:color="auto"/>
        <w:right w:val="none" w:sz="0" w:space="0" w:color="auto"/>
      </w:divBdr>
    </w:div>
    <w:div w:id="104622559">
      <w:bodyDiv w:val="1"/>
      <w:marLeft w:val="0"/>
      <w:marRight w:val="0"/>
      <w:marTop w:val="0"/>
      <w:marBottom w:val="0"/>
      <w:divBdr>
        <w:top w:val="none" w:sz="0" w:space="0" w:color="auto"/>
        <w:left w:val="none" w:sz="0" w:space="0" w:color="auto"/>
        <w:bottom w:val="none" w:sz="0" w:space="0" w:color="auto"/>
        <w:right w:val="none" w:sz="0" w:space="0" w:color="auto"/>
      </w:divBdr>
    </w:div>
    <w:div w:id="127745157">
      <w:bodyDiv w:val="1"/>
      <w:marLeft w:val="0"/>
      <w:marRight w:val="0"/>
      <w:marTop w:val="0"/>
      <w:marBottom w:val="0"/>
      <w:divBdr>
        <w:top w:val="none" w:sz="0" w:space="0" w:color="auto"/>
        <w:left w:val="none" w:sz="0" w:space="0" w:color="auto"/>
        <w:bottom w:val="none" w:sz="0" w:space="0" w:color="auto"/>
        <w:right w:val="none" w:sz="0" w:space="0" w:color="auto"/>
      </w:divBdr>
    </w:div>
    <w:div w:id="290476766">
      <w:bodyDiv w:val="1"/>
      <w:marLeft w:val="0"/>
      <w:marRight w:val="0"/>
      <w:marTop w:val="0"/>
      <w:marBottom w:val="0"/>
      <w:divBdr>
        <w:top w:val="none" w:sz="0" w:space="0" w:color="auto"/>
        <w:left w:val="none" w:sz="0" w:space="0" w:color="auto"/>
        <w:bottom w:val="none" w:sz="0" w:space="0" w:color="auto"/>
        <w:right w:val="none" w:sz="0" w:space="0" w:color="auto"/>
      </w:divBdr>
    </w:div>
    <w:div w:id="309335367">
      <w:bodyDiv w:val="1"/>
      <w:marLeft w:val="0"/>
      <w:marRight w:val="0"/>
      <w:marTop w:val="0"/>
      <w:marBottom w:val="0"/>
      <w:divBdr>
        <w:top w:val="none" w:sz="0" w:space="0" w:color="auto"/>
        <w:left w:val="none" w:sz="0" w:space="0" w:color="auto"/>
        <w:bottom w:val="none" w:sz="0" w:space="0" w:color="auto"/>
        <w:right w:val="none" w:sz="0" w:space="0" w:color="auto"/>
      </w:divBdr>
    </w:div>
    <w:div w:id="561988224">
      <w:bodyDiv w:val="1"/>
      <w:marLeft w:val="0"/>
      <w:marRight w:val="0"/>
      <w:marTop w:val="0"/>
      <w:marBottom w:val="0"/>
      <w:divBdr>
        <w:top w:val="none" w:sz="0" w:space="0" w:color="auto"/>
        <w:left w:val="none" w:sz="0" w:space="0" w:color="auto"/>
        <w:bottom w:val="none" w:sz="0" w:space="0" w:color="auto"/>
        <w:right w:val="none" w:sz="0" w:space="0" w:color="auto"/>
      </w:divBdr>
    </w:div>
    <w:div w:id="886796552">
      <w:bodyDiv w:val="1"/>
      <w:marLeft w:val="0"/>
      <w:marRight w:val="0"/>
      <w:marTop w:val="0"/>
      <w:marBottom w:val="0"/>
      <w:divBdr>
        <w:top w:val="none" w:sz="0" w:space="0" w:color="auto"/>
        <w:left w:val="none" w:sz="0" w:space="0" w:color="auto"/>
        <w:bottom w:val="none" w:sz="0" w:space="0" w:color="auto"/>
        <w:right w:val="none" w:sz="0" w:space="0" w:color="auto"/>
      </w:divBdr>
    </w:div>
    <w:div w:id="1421100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37776/zh.v14i2.548" TargetMode="External"/><Relationship Id="rId18" Type="http://schemas.openxmlformats.org/officeDocument/2006/relationships/hyperlink" Target="https://doi.org/10.55583/jkih.v5i1.1661" TargetMode="External"/><Relationship Id="rId26" Type="http://schemas.openxmlformats.org/officeDocument/2006/relationships/hyperlink" Target="https://doi.org/10.62491/sjss.v2i2.2025.52" TargetMode="External"/><Relationship Id="rId3" Type="http://schemas.openxmlformats.org/officeDocument/2006/relationships/styles" Target="styles.xml"/><Relationship Id="rId21" Type="http://schemas.openxmlformats.org/officeDocument/2006/relationships/hyperlink" Target="https://doi.org/10.62491/sjss.v2i2.2025.52"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31004/cdj.v5i4.32079" TargetMode="External"/><Relationship Id="rId17" Type="http://schemas.openxmlformats.org/officeDocument/2006/relationships/hyperlink" Target="https://doi.org/10.36232/equalitybeforethelaw.v3i1.465" TargetMode="External"/><Relationship Id="rId25" Type="http://schemas.openxmlformats.org/officeDocument/2006/relationships/hyperlink" Target="https://doi.org/10.56301/awl.v8i1.1807"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15294/jphi.v7i2.6693" TargetMode="External"/><Relationship Id="rId20" Type="http://schemas.openxmlformats.org/officeDocument/2006/relationships/hyperlink" Target="https://dx.doi.org/10.26532/jph.v12i3.46983"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9040/jie.v8i3.14355" TargetMode="External"/><Relationship Id="rId24" Type="http://schemas.openxmlformats.org/officeDocument/2006/relationships/hyperlink" Target="https://doi.org/10.15294/jphi.v7i2.12734"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62491/sjss.v2i2.2025.52" TargetMode="External"/><Relationship Id="rId23" Type="http://schemas.openxmlformats.org/officeDocument/2006/relationships/hyperlink" Target="https://doi.org/10.56910/literacy.v2i3.1099" TargetMode="External"/><Relationship Id="rId28" Type="http://schemas.openxmlformats.org/officeDocument/2006/relationships/header" Target="header1.xml"/><Relationship Id="rId10" Type="http://schemas.openxmlformats.org/officeDocument/2006/relationships/hyperlink" Target="https://doi.org/10.47134/jcl.v1i2.2457" TargetMode="External"/><Relationship Id="rId19" Type="http://schemas.openxmlformats.org/officeDocument/2006/relationships/hyperlink" Target="https://doi.org/10.54209/judge.v5i03.802"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30742/perspektif.v27i2.821" TargetMode="External"/><Relationship Id="rId22" Type="http://schemas.openxmlformats.org/officeDocument/2006/relationships/hyperlink" Target="https://doi.org/10.5281/zenodo.11195120" TargetMode="External"/><Relationship Id="rId27" Type="http://schemas.openxmlformats.org/officeDocument/2006/relationships/hyperlink" Target="https://doi.org/10.18196/jmh.v30i2.18264"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creativecommons.org/licenses/by-sa/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hyperlink" Target="http://dx.doi.org/10.36312/jisip.v5i2.18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9n5F1Ry/ZqawPO0jU8Htd7fPmA==">CgMxLjA4AHIhMUUyei05WWlYWGFIa19YZEFaNkgyREljcjVDTURyaURJ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Pages>
  <Words>3872</Words>
  <Characters>22073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nni.antika@gmail.com</dc:creator>
  <cp:lastModifiedBy>user</cp:lastModifiedBy>
  <cp:revision>4</cp:revision>
  <dcterms:created xsi:type="dcterms:W3CDTF">2021-07-02T03:07:00Z</dcterms:created>
  <dcterms:modified xsi:type="dcterms:W3CDTF">2026-02-07T03:55:00Z</dcterms:modified>
</cp:coreProperties>
</file>