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C8F8D" w14:textId="77777777" w:rsidR="00792463" w:rsidRPr="008F1698" w:rsidRDefault="00792463" w:rsidP="00792463">
      <w:pPr>
        <w:spacing w:after="0" w:line="240" w:lineRule="auto"/>
        <w:ind w:right="56"/>
        <w:jc w:val="center"/>
        <w:rPr>
          <w:rFonts w:ascii="Times New Roman" w:hAnsi="Times New Roman" w:cs="Times New Roman"/>
          <w:b/>
        </w:rPr>
      </w:pPr>
      <w:r w:rsidRPr="008F1698">
        <w:rPr>
          <w:rFonts w:ascii="Times New Roman" w:hAnsi="Times New Roman" w:cs="Times New Roman"/>
          <w:b/>
        </w:rPr>
        <w:t>Temuan Siklus I dan II</w:t>
      </w:r>
    </w:p>
    <w:p w14:paraId="646BD555" w14:textId="77777777" w:rsidR="00792463" w:rsidRPr="008F1698" w:rsidRDefault="00792463" w:rsidP="00792463">
      <w:pPr>
        <w:spacing w:after="0" w:line="240" w:lineRule="auto"/>
        <w:ind w:right="56" w:firstLine="720"/>
        <w:jc w:val="both"/>
        <w:rPr>
          <w:rFonts w:ascii="Times New Roman" w:hAnsi="Times New Roman" w:cs="Times New Roman"/>
        </w:rPr>
      </w:pPr>
      <w:r w:rsidRPr="008F1698">
        <w:rPr>
          <w:rFonts w:ascii="Times New Roman" w:hAnsi="Times New Roman" w:cs="Times New Roman"/>
        </w:rPr>
        <w:t>Pada siklus I keterlaksanaan pembelajaran menggunakan playdoh untuk meningkatkan kreativitas anak dapat terlaksana dengan baik, begitu juga pada siklus II. Kendala yang dihadapai pada siklus II berupa ada beberapa anak yang absen, dan ada juga yang baru sembuh jadi sedikit terhalang proses adaptasinya. Tetapi peningkatan kreativitas anak melalui permainan playdoh secara keseluruhan dapat terlaksanan dengan lancar dan baik, bisa dilihat pada siklus I total rata-rata sebanyak 18,46 dengan prosentasi 75,58% meningkat menjadi 20,6 dengan prosentase 93,57% pada siklus II. Data aktivitas anak selama proses pembelajaran siklus I dan II ditunjukan pada Tabel 2.</w:t>
      </w:r>
    </w:p>
    <w:p w14:paraId="17E4182A" w14:textId="77777777" w:rsidR="00792463" w:rsidRPr="008F1698" w:rsidRDefault="00792463" w:rsidP="00792463">
      <w:pPr>
        <w:spacing w:after="0" w:line="240" w:lineRule="auto"/>
        <w:ind w:right="56"/>
        <w:jc w:val="both"/>
        <w:rPr>
          <w:rFonts w:ascii="Times New Roman" w:hAnsi="Times New Roman" w:cs="Times New Roman"/>
          <w:b/>
          <w:sz w:val="20"/>
          <w:szCs w:val="20"/>
        </w:rPr>
      </w:pPr>
    </w:p>
    <w:p w14:paraId="247FC785" w14:textId="77777777" w:rsidR="00792463" w:rsidRPr="008F1698" w:rsidRDefault="00792463" w:rsidP="00792463">
      <w:pPr>
        <w:spacing w:after="0" w:line="240" w:lineRule="auto"/>
        <w:ind w:right="56"/>
        <w:jc w:val="both"/>
        <w:rPr>
          <w:rFonts w:ascii="Times New Roman" w:hAnsi="Times New Roman" w:cs="Times New Roman"/>
          <w:b/>
          <w:sz w:val="20"/>
          <w:szCs w:val="20"/>
        </w:rPr>
      </w:pPr>
      <w:r w:rsidRPr="008F1698">
        <w:rPr>
          <w:rFonts w:ascii="Times New Roman" w:hAnsi="Times New Roman" w:cs="Times New Roman"/>
          <w:b/>
          <w:sz w:val="20"/>
          <w:szCs w:val="20"/>
        </w:rPr>
        <w:t>Tabel 2 Rekapitulasi Peningkatan Kreativitas Anak Siklus I dan Siklus II dengan Prosentase.</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72"/>
        <w:gridCol w:w="1298"/>
        <w:gridCol w:w="1276"/>
        <w:gridCol w:w="1606"/>
        <w:gridCol w:w="1625"/>
      </w:tblGrid>
      <w:tr w:rsidR="00792463" w:rsidRPr="008F1698" w14:paraId="7298C35A" w14:textId="77777777" w:rsidTr="00792463">
        <w:trPr>
          <w:trHeight w:val="332"/>
        </w:trPr>
        <w:tc>
          <w:tcPr>
            <w:tcW w:w="4372" w:type="dxa"/>
            <w:tcBorders>
              <w:top w:val="single" w:sz="4" w:space="0" w:color="auto"/>
              <w:left w:val="nil"/>
              <w:bottom w:val="single" w:sz="4" w:space="0" w:color="auto"/>
              <w:right w:val="nil"/>
            </w:tcBorders>
            <w:vAlign w:val="center"/>
            <w:hideMark/>
          </w:tcPr>
          <w:p w14:paraId="5515FF00" w14:textId="77777777" w:rsidR="00792463" w:rsidRPr="008F1698" w:rsidRDefault="00792463" w:rsidP="00792463">
            <w:pPr>
              <w:ind w:right="56"/>
              <w:jc w:val="center"/>
              <w:rPr>
                <w:rFonts w:ascii="Times New Roman" w:hAnsi="Times New Roman" w:cs="Times New Roman"/>
                <w:b/>
                <w:sz w:val="20"/>
                <w:szCs w:val="20"/>
              </w:rPr>
            </w:pPr>
            <w:r w:rsidRPr="008F1698">
              <w:rPr>
                <w:rFonts w:ascii="Times New Roman" w:hAnsi="Times New Roman" w:cs="Times New Roman"/>
                <w:b/>
                <w:sz w:val="20"/>
                <w:szCs w:val="20"/>
              </w:rPr>
              <w:t>Jenis aktivitas anak</w:t>
            </w:r>
          </w:p>
        </w:tc>
        <w:tc>
          <w:tcPr>
            <w:tcW w:w="1298" w:type="dxa"/>
            <w:tcBorders>
              <w:top w:val="single" w:sz="4" w:space="0" w:color="auto"/>
              <w:left w:val="nil"/>
              <w:bottom w:val="single" w:sz="4" w:space="0" w:color="auto"/>
              <w:right w:val="nil"/>
            </w:tcBorders>
            <w:vAlign w:val="center"/>
            <w:hideMark/>
          </w:tcPr>
          <w:p w14:paraId="47E479FE" w14:textId="77777777" w:rsidR="00792463" w:rsidRPr="008F1698" w:rsidRDefault="00792463" w:rsidP="00792463">
            <w:pPr>
              <w:ind w:right="56"/>
              <w:jc w:val="center"/>
              <w:rPr>
                <w:rFonts w:ascii="Times New Roman" w:hAnsi="Times New Roman" w:cs="Times New Roman"/>
                <w:b/>
                <w:sz w:val="20"/>
                <w:szCs w:val="20"/>
              </w:rPr>
            </w:pPr>
            <w:r w:rsidRPr="008F1698">
              <w:rPr>
                <w:rFonts w:ascii="Times New Roman" w:hAnsi="Times New Roman" w:cs="Times New Roman"/>
                <w:b/>
                <w:sz w:val="20"/>
                <w:szCs w:val="20"/>
              </w:rPr>
              <w:t>Siklus I</w:t>
            </w:r>
          </w:p>
        </w:tc>
        <w:tc>
          <w:tcPr>
            <w:tcW w:w="1276" w:type="dxa"/>
            <w:tcBorders>
              <w:top w:val="single" w:sz="4" w:space="0" w:color="auto"/>
              <w:left w:val="nil"/>
              <w:bottom w:val="single" w:sz="4" w:space="0" w:color="auto"/>
              <w:right w:val="nil"/>
            </w:tcBorders>
            <w:vAlign w:val="center"/>
            <w:hideMark/>
          </w:tcPr>
          <w:p w14:paraId="2328DAB2" w14:textId="77777777" w:rsidR="00792463" w:rsidRPr="008F1698" w:rsidRDefault="00792463" w:rsidP="00792463">
            <w:pPr>
              <w:ind w:right="56"/>
              <w:jc w:val="center"/>
              <w:rPr>
                <w:rFonts w:ascii="Times New Roman" w:hAnsi="Times New Roman" w:cs="Times New Roman"/>
                <w:b/>
                <w:sz w:val="20"/>
                <w:szCs w:val="20"/>
              </w:rPr>
            </w:pPr>
            <w:r w:rsidRPr="008F1698">
              <w:rPr>
                <w:rFonts w:ascii="Times New Roman" w:hAnsi="Times New Roman" w:cs="Times New Roman"/>
                <w:b/>
                <w:sz w:val="20"/>
                <w:szCs w:val="20"/>
              </w:rPr>
              <w:t>Siklus II</w:t>
            </w:r>
          </w:p>
        </w:tc>
        <w:tc>
          <w:tcPr>
            <w:tcW w:w="1606" w:type="dxa"/>
            <w:tcBorders>
              <w:top w:val="single" w:sz="4" w:space="0" w:color="auto"/>
              <w:left w:val="nil"/>
              <w:bottom w:val="single" w:sz="4" w:space="0" w:color="auto"/>
              <w:right w:val="nil"/>
            </w:tcBorders>
            <w:vAlign w:val="center"/>
            <w:hideMark/>
          </w:tcPr>
          <w:p w14:paraId="715A94D6" w14:textId="77777777" w:rsidR="00792463" w:rsidRPr="008F1698" w:rsidRDefault="00792463" w:rsidP="00792463">
            <w:pPr>
              <w:ind w:right="56"/>
              <w:jc w:val="center"/>
              <w:rPr>
                <w:rFonts w:ascii="Times New Roman" w:hAnsi="Times New Roman" w:cs="Times New Roman"/>
                <w:b/>
                <w:sz w:val="20"/>
                <w:szCs w:val="20"/>
              </w:rPr>
            </w:pPr>
            <w:r w:rsidRPr="008F1698">
              <w:rPr>
                <w:rFonts w:ascii="Times New Roman" w:hAnsi="Times New Roman" w:cs="Times New Roman"/>
                <w:b/>
                <w:sz w:val="20"/>
                <w:szCs w:val="20"/>
              </w:rPr>
              <w:t>Peningkatan skor rerata</w:t>
            </w:r>
          </w:p>
        </w:tc>
        <w:tc>
          <w:tcPr>
            <w:tcW w:w="1625" w:type="dxa"/>
            <w:tcBorders>
              <w:top w:val="single" w:sz="4" w:space="0" w:color="auto"/>
              <w:left w:val="nil"/>
              <w:bottom w:val="single" w:sz="4" w:space="0" w:color="auto"/>
              <w:right w:val="nil"/>
            </w:tcBorders>
            <w:vAlign w:val="center"/>
            <w:hideMark/>
          </w:tcPr>
          <w:p w14:paraId="3B0CBC18" w14:textId="77777777" w:rsidR="00792463" w:rsidRPr="008F1698" w:rsidRDefault="00792463" w:rsidP="00792463">
            <w:pPr>
              <w:ind w:right="56"/>
              <w:jc w:val="center"/>
              <w:rPr>
                <w:rFonts w:ascii="Times New Roman" w:hAnsi="Times New Roman" w:cs="Times New Roman"/>
                <w:b/>
                <w:sz w:val="20"/>
                <w:szCs w:val="20"/>
              </w:rPr>
            </w:pPr>
            <w:r w:rsidRPr="008F1698">
              <w:rPr>
                <w:rFonts w:ascii="Times New Roman" w:hAnsi="Times New Roman" w:cs="Times New Roman"/>
                <w:b/>
                <w:sz w:val="20"/>
                <w:szCs w:val="20"/>
              </w:rPr>
              <w:t>%</w:t>
            </w:r>
          </w:p>
        </w:tc>
      </w:tr>
      <w:tr w:rsidR="00792463" w:rsidRPr="008F1698" w14:paraId="3E516CB4" w14:textId="77777777" w:rsidTr="00792463">
        <w:trPr>
          <w:trHeight w:val="343"/>
        </w:trPr>
        <w:tc>
          <w:tcPr>
            <w:tcW w:w="4372" w:type="dxa"/>
            <w:tcBorders>
              <w:top w:val="single" w:sz="4" w:space="0" w:color="auto"/>
              <w:left w:val="nil"/>
              <w:bottom w:val="nil"/>
              <w:right w:val="nil"/>
            </w:tcBorders>
            <w:hideMark/>
          </w:tcPr>
          <w:p w14:paraId="698B3D58" w14:textId="77777777" w:rsidR="00792463" w:rsidRPr="008F1698" w:rsidRDefault="00792463" w:rsidP="00792463">
            <w:pPr>
              <w:ind w:right="56"/>
              <w:jc w:val="both"/>
              <w:rPr>
                <w:rFonts w:ascii="Times New Roman" w:hAnsi="Times New Roman" w:cs="Times New Roman"/>
                <w:sz w:val="20"/>
                <w:szCs w:val="20"/>
              </w:rPr>
            </w:pPr>
            <w:r w:rsidRPr="008F1698">
              <w:rPr>
                <w:rFonts w:ascii="Times New Roman" w:hAnsi="Times New Roman" w:cs="Times New Roman"/>
                <w:sz w:val="20"/>
                <w:szCs w:val="20"/>
              </w:rPr>
              <w:t>Mengikuti kegiatan berdoa sebelum kegiatan</w:t>
            </w:r>
          </w:p>
        </w:tc>
        <w:tc>
          <w:tcPr>
            <w:tcW w:w="1298" w:type="dxa"/>
            <w:tcBorders>
              <w:top w:val="single" w:sz="4" w:space="0" w:color="auto"/>
              <w:left w:val="nil"/>
              <w:bottom w:val="nil"/>
              <w:right w:val="nil"/>
            </w:tcBorders>
            <w:hideMark/>
          </w:tcPr>
          <w:p w14:paraId="1DBD374E"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19</w:t>
            </w:r>
          </w:p>
        </w:tc>
        <w:tc>
          <w:tcPr>
            <w:tcW w:w="1276" w:type="dxa"/>
            <w:tcBorders>
              <w:top w:val="single" w:sz="4" w:space="0" w:color="auto"/>
              <w:left w:val="nil"/>
              <w:bottom w:val="nil"/>
              <w:right w:val="nil"/>
            </w:tcBorders>
            <w:hideMark/>
          </w:tcPr>
          <w:p w14:paraId="7EFF791C"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22</w:t>
            </w:r>
          </w:p>
        </w:tc>
        <w:tc>
          <w:tcPr>
            <w:tcW w:w="1606" w:type="dxa"/>
            <w:tcBorders>
              <w:top w:val="single" w:sz="4" w:space="0" w:color="auto"/>
              <w:left w:val="nil"/>
              <w:bottom w:val="nil"/>
              <w:right w:val="nil"/>
            </w:tcBorders>
            <w:hideMark/>
          </w:tcPr>
          <w:p w14:paraId="29D615D8"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3</w:t>
            </w:r>
          </w:p>
        </w:tc>
        <w:tc>
          <w:tcPr>
            <w:tcW w:w="1625" w:type="dxa"/>
            <w:tcBorders>
              <w:top w:val="single" w:sz="4" w:space="0" w:color="auto"/>
              <w:left w:val="nil"/>
              <w:bottom w:val="nil"/>
              <w:right w:val="nil"/>
            </w:tcBorders>
            <w:hideMark/>
          </w:tcPr>
          <w:p w14:paraId="1510BDE3"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17,75%</w:t>
            </w:r>
          </w:p>
        </w:tc>
      </w:tr>
      <w:tr w:rsidR="00792463" w:rsidRPr="008F1698" w14:paraId="48EAA07A" w14:textId="77777777" w:rsidTr="00792463">
        <w:trPr>
          <w:trHeight w:val="166"/>
        </w:trPr>
        <w:tc>
          <w:tcPr>
            <w:tcW w:w="4372" w:type="dxa"/>
            <w:tcBorders>
              <w:top w:val="nil"/>
              <w:left w:val="nil"/>
              <w:bottom w:val="nil"/>
              <w:right w:val="nil"/>
            </w:tcBorders>
            <w:hideMark/>
          </w:tcPr>
          <w:p w14:paraId="54C41AEB" w14:textId="77777777" w:rsidR="00792463" w:rsidRPr="008F1698" w:rsidRDefault="00792463" w:rsidP="00792463">
            <w:pPr>
              <w:ind w:right="56"/>
              <w:jc w:val="both"/>
              <w:rPr>
                <w:rFonts w:ascii="Times New Roman" w:hAnsi="Times New Roman" w:cs="Times New Roman"/>
                <w:sz w:val="20"/>
                <w:szCs w:val="20"/>
              </w:rPr>
            </w:pPr>
            <w:r w:rsidRPr="008F1698">
              <w:rPr>
                <w:rFonts w:ascii="Times New Roman" w:hAnsi="Times New Roman" w:cs="Times New Roman"/>
                <w:sz w:val="20"/>
                <w:szCs w:val="20"/>
              </w:rPr>
              <w:t>Aktif dalam kegiatan percakapan</w:t>
            </w:r>
          </w:p>
        </w:tc>
        <w:tc>
          <w:tcPr>
            <w:tcW w:w="1298" w:type="dxa"/>
            <w:tcBorders>
              <w:top w:val="nil"/>
              <w:left w:val="nil"/>
              <w:bottom w:val="nil"/>
              <w:right w:val="nil"/>
            </w:tcBorders>
            <w:hideMark/>
          </w:tcPr>
          <w:p w14:paraId="024987EF"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12,5</w:t>
            </w:r>
          </w:p>
        </w:tc>
        <w:tc>
          <w:tcPr>
            <w:tcW w:w="1276" w:type="dxa"/>
            <w:tcBorders>
              <w:top w:val="nil"/>
              <w:left w:val="nil"/>
              <w:bottom w:val="nil"/>
              <w:right w:val="nil"/>
            </w:tcBorders>
            <w:hideMark/>
          </w:tcPr>
          <w:p w14:paraId="59F09824"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19</w:t>
            </w:r>
          </w:p>
        </w:tc>
        <w:tc>
          <w:tcPr>
            <w:tcW w:w="1606" w:type="dxa"/>
            <w:tcBorders>
              <w:top w:val="nil"/>
              <w:left w:val="nil"/>
              <w:bottom w:val="nil"/>
              <w:right w:val="nil"/>
            </w:tcBorders>
            <w:hideMark/>
          </w:tcPr>
          <w:p w14:paraId="7E097F62"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6,5</w:t>
            </w:r>
          </w:p>
        </w:tc>
        <w:tc>
          <w:tcPr>
            <w:tcW w:w="1625" w:type="dxa"/>
            <w:tcBorders>
              <w:top w:val="nil"/>
              <w:left w:val="nil"/>
              <w:bottom w:val="nil"/>
              <w:right w:val="nil"/>
            </w:tcBorders>
            <w:hideMark/>
          </w:tcPr>
          <w:p w14:paraId="4D68CF6E"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33,32%</w:t>
            </w:r>
          </w:p>
        </w:tc>
      </w:tr>
      <w:tr w:rsidR="00792463" w:rsidRPr="008F1698" w14:paraId="2794BF1D" w14:textId="77777777" w:rsidTr="00792463">
        <w:trPr>
          <w:trHeight w:val="343"/>
        </w:trPr>
        <w:tc>
          <w:tcPr>
            <w:tcW w:w="4372" w:type="dxa"/>
            <w:tcBorders>
              <w:top w:val="nil"/>
              <w:left w:val="nil"/>
              <w:bottom w:val="nil"/>
              <w:right w:val="nil"/>
            </w:tcBorders>
            <w:hideMark/>
          </w:tcPr>
          <w:p w14:paraId="6C1B4946" w14:textId="77777777" w:rsidR="00792463" w:rsidRPr="008F1698" w:rsidRDefault="00792463" w:rsidP="00792463">
            <w:pPr>
              <w:ind w:right="56"/>
              <w:jc w:val="both"/>
              <w:rPr>
                <w:rFonts w:ascii="Times New Roman" w:hAnsi="Times New Roman" w:cs="Times New Roman"/>
                <w:sz w:val="20"/>
                <w:szCs w:val="20"/>
              </w:rPr>
            </w:pPr>
            <w:r w:rsidRPr="008F1698">
              <w:rPr>
                <w:rFonts w:ascii="Times New Roman" w:hAnsi="Times New Roman" w:cs="Times New Roman"/>
                <w:sz w:val="20"/>
                <w:szCs w:val="20"/>
              </w:rPr>
              <w:t>Mengikuti kegiatan motorik kasar dengan antusias</w:t>
            </w:r>
          </w:p>
        </w:tc>
        <w:tc>
          <w:tcPr>
            <w:tcW w:w="1298" w:type="dxa"/>
            <w:tcBorders>
              <w:top w:val="nil"/>
              <w:left w:val="nil"/>
              <w:bottom w:val="nil"/>
              <w:right w:val="nil"/>
            </w:tcBorders>
            <w:hideMark/>
          </w:tcPr>
          <w:p w14:paraId="6DD70447"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21</w:t>
            </w:r>
          </w:p>
        </w:tc>
        <w:tc>
          <w:tcPr>
            <w:tcW w:w="1276" w:type="dxa"/>
            <w:tcBorders>
              <w:top w:val="nil"/>
              <w:left w:val="nil"/>
              <w:bottom w:val="nil"/>
              <w:right w:val="nil"/>
            </w:tcBorders>
            <w:hideMark/>
          </w:tcPr>
          <w:p w14:paraId="6CCC0FC0"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22</w:t>
            </w:r>
          </w:p>
        </w:tc>
        <w:tc>
          <w:tcPr>
            <w:tcW w:w="1606" w:type="dxa"/>
            <w:tcBorders>
              <w:top w:val="nil"/>
              <w:left w:val="nil"/>
              <w:bottom w:val="nil"/>
              <w:right w:val="nil"/>
            </w:tcBorders>
            <w:hideMark/>
          </w:tcPr>
          <w:p w14:paraId="6B85319B"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1</w:t>
            </w:r>
          </w:p>
        </w:tc>
        <w:tc>
          <w:tcPr>
            <w:tcW w:w="1625" w:type="dxa"/>
            <w:tcBorders>
              <w:top w:val="nil"/>
              <w:left w:val="nil"/>
              <w:bottom w:val="nil"/>
              <w:right w:val="nil"/>
            </w:tcBorders>
            <w:hideMark/>
          </w:tcPr>
          <w:p w14:paraId="6FCD070F"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10,6%</w:t>
            </w:r>
          </w:p>
        </w:tc>
      </w:tr>
      <w:tr w:rsidR="00792463" w:rsidRPr="008F1698" w14:paraId="08B02DAE" w14:textId="77777777" w:rsidTr="00792463">
        <w:trPr>
          <w:trHeight w:val="343"/>
        </w:trPr>
        <w:tc>
          <w:tcPr>
            <w:tcW w:w="4372" w:type="dxa"/>
            <w:tcBorders>
              <w:top w:val="nil"/>
              <w:left w:val="nil"/>
              <w:bottom w:val="nil"/>
              <w:right w:val="nil"/>
            </w:tcBorders>
            <w:hideMark/>
          </w:tcPr>
          <w:p w14:paraId="10748E56" w14:textId="77777777" w:rsidR="00792463" w:rsidRPr="008F1698" w:rsidRDefault="00792463" w:rsidP="00792463">
            <w:pPr>
              <w:ind w:right="56"/>
              <w:jc w:val="both"/>
              <w:rPr>
                <w:rFonts w:ascii="Times New Roman" w:hAnsi="Times New Roman" w:cs="Times New Roman"/>
                <w:sz w:val="20"/>
                <w:szCs w:val="20"/>
              </w:rPr>
            </w:pPr>
            <w:r w:rsidRPr="008F1698">
              <w:rPr>
                <w:rFonts w:ascii="Times New Roman" w:hAnsi="Times New Roman" w:cs="Times New Roman"/>
                <w:sz w:val="20"/>
                <w:szCs w:val="20"/>
              </w:rPr>
              <w:t>Anak antusias dalam mengamati playdoh yang ditunjukan guru</w:t>
            </w:r>
          </w:p>
        </w:tc>
        <w:tc>
          <w:tcPr>
            <w:tcW w:w="1298" w:type="dxa"/>
            <w:tcBorders>
              <w:top w:val="nil"/>
              <w:left w:val="nil"/>
              <w:bottom w:val="nil"/>
              <w:right w:val="nil"/>
            </w:tcBorders>
            <w:hideMark/>
          </w:tcPr>
          <w:p w14:paraId="628521B4"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19</w:t>
            </w:r>
          </w:p>
        </w:tc>
        <w:tc>
          <w:tcPr>
            <w:tcW w:w="1276" w:type="dxa"/>
            <w:tcBorders>
              <w:top w:val="nil"/>
              <w:left w:val="nil"/>
              <w:bottom w:val="nil"/>
              <w:right w:val="nil"/>
            </w:tcBorders>
            <w:hideMark/>
          </w:tcPr>
          <w:p w14:paraId="286AD387"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21,5</w:t>
            </w:r>
          </w:p>
        </w:tc>
        <w:tc>
          <w:tcPr>
            <w:tcW w:w="1606" w:type="dxa"/>
            <w:tcBorders>
              <w:top w:val="nil"/>
              <w:left w:val="nil"/>
              <w:bottom w:val="nil"/>
              <w:right w:val="nil"/>
            </w:tcBorders>
            <w:hideMark/>
          </w:tcPr>
          <w:p w14:paraId="2541B36B"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2,5</w:t>
            </w:r>
          </w:p>
        </w:tc>
        <w:tc>
          <w:tcPr>
            <w:tcW w:w="1625" w:type="dxa"/>
            <w:tcBorders>
              <w:top w:val="nil"/>
              <w:left w:val="nil"/>
              <w:bottom w:val="nil"/>
              <w:right w:val="nil"/>
            </w:tcBorders>
            <w:hideMark/>
          </w:tcPr>
          <w:p w14:paraId="648CCD63"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16,64%</w:t>
            </w:r>
          </w:p>
        </w:tc>
      </w:tr>
      <w:tr w:rsidR="00792463" w:rsidRPr="008F1698" w14:paraId="41792E67" w14:textId="77777777" w:rsidTr="00792463">
        <w:trPr>
          <w:trHeight w:val="166"/>
        </w:trPr>
        <w:tc>
          <w:tcPr>
            <w:tcW w:w="4372" w:type="dxa"/>
            <w:tcBorders>
              <w:top w:val="nil"/>
              <w:left w:val="nil"/>
              <w:bottom w:val="nil"/>
              <w:right w:val="nil"/>
            </w:tcBorders>
            <w:hideMark/>
          </w:tcPr>
          <w:p w14:paraId="69D51019" w14:textId="77777777" w:rsidR="00792463" w:rsidRPr="008F1698" w:rsidRDefault="00792463" w:rsidP="00792463">
            <w:pPr>
              <w:ind w:right="56"/>
              <w:jc w:val="both"/>
              <w:rPr>
                <w:rFonts w:ascii="Times New Roman" w:hAnsi="Times New Roman" w:cs="Times New Roman"/>
                <w:sz w:val="20"/>
                <w:szCs w:val="20"/>
              </w:rPr>
            </w:pPr>
            <w:r w:rsidRPr="008F1698">
              <w:rPr>
                <w:rFonts w:ascii="Times New Roman" w:hAnsi="Times New Roman" w:cs="Times New Roman"/>
                <w:sz w:val="20"/>
                <w:szCs w:val="20"/>
              </w:rPr>
              <w:t>Aktif dalam bertanya</w:t>
            </w:r>
          </w:p>
        </w:tc>
        <w:tc>
          <w:tcPr>
            <w:tcW w:w="1298" w:type="dxa"/>
            <w:tcBorders>
              <w:top w:val="nil"/>
              <w:left w:val="nil"/>
              <w:bottom w:val="nil"/>
              <w:right w:val="nil"/>
            </w:tcBorders>
            <w:hideMark/>
          </w:tcPr>
          <w:p w14:paraId="2DD78F83"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15,5</w:t>
            </w:r>
          </w:p>
        </w:tc>
        <w:tc>
          <w:tcPr>
            <w:tcW w:w="1276" w:type="dxa"/>
            <w:tcBorders>
              <w:top w:val="nil"/>
              <w:left w:val="nil"/>
              <w:bottom w:val="nil"/>
              <w:right w:val="nil"/>
            </w:tcBorders>
            <w:hideMark/>
          </w:tcPr>
          <w:p w14:paraId="41A954CE"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19</w:t>
            </w:r>
          </w:p>
        </w:tc>
        <w:tc>
          <w:tcPr>
            <w:tcW w:w="1606" w:type="dxa"/>
            <w:tcBorders>
              <w:top w:val="nil"/>
              <w:left w:val="nil"/>
              <w:bottom w:val="nil"/>
              <w:right w:val="nil"/>
            </w:tcBorders>
            <w:hideMark/>
          </w:tcPr>
          <w:p w14:paraId="18272FDD"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3,5</w:t>
            </w:r>
          </w:p>
        </w:tc>
        <w:tc>
          <w:tcPr>
            <w:tcW w:w="1625" w:type="dxa"/>
            <w:tcBorders>
              <w:top w:val="nil"/>
              <w:left w:val="nil"/>
              <w:bottom w:val="nil"/>
              <w:right w:val="nil"/>
            </w:tcBorders>
            <w:hideMark/>
          </w:tcPr>
          <w:p w14:paraId="326400A3"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20,12%</w:t>
            </w:r>
          </w:p>
        </w:tc>
      </w:tr>
      <w:tr w:rsidR="00792463" w:rsidRPr="008F1698" w14:paraId="7F0165CB" w14:textId="77777777" w:rsidTr="00792463">
        <w:trPr>
          <w:trHeight w:val="166"/>
        </w:trPr>
        <w:tc>
          <w:tcPr>
            <w:tcW w:w="4372" w:type="dxa"/>
            <w:tcBorders>
              <w:top w:val="nil"/>
              <w:left w:val="nil"/>
              <w:bottom w:val="nil"/>
              <w:right w:val="nil"/>
            </w:tcBorders>
            <w:hideMark/>
          </w:tcPr>
          <w:p w14:paraId="60F6004E" w14:textId="77777777" w:rsidR="00792463" w:rsidRPr="008F1698" w:rsidRDefault="00792463" w:rsidP="00792463">
            <w:pPr>
              <w:ind w:right="56"/>
              <w:jc w:val="both"/>
              <w:rPr>
                <w:rFonts w:ascii="Times New Roman" w:hAnsi="Times New Roman" w:cs="Times New Roman"/>
                <w:sz w:val="20"/>
                <w:szCs w:val="20"/>
              </w:rPr>
            </w:pPr>
            <w:r w:rsidRPr="008F1698">
              <w:rPr>
                <w:rFonts w:ascii="Times New Roman" w:hAnsi="Times New Roman" w:cs="Times New Roman"/>
                <w:sz w:val="20"/>
                <w:szCs w:val="20"/>
              </w:rPr>
              <w:t>Aktif dalam menjawab pertanyaan</w:t>
            </w:r>
          </w:p>
        </w:tc>
        <w:tc>
          <w:tcPr>
            <w:tcW w:w="1298" w:type="dxa"/>
            <w:tcBorders>
              <w:top w:val="nil"/>
              <w:left w:val="nil"/>
              <w:bottom w:val="nil"/>
              <w:right w:val="nil"/>
            </w:tcBorders>
            <w:hideMark/>
          </w:tcPr>
          <w:p w14:paraId="587696D6"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15,5</w:t>
            </w:r>
          </w:p>
        </w:tc>
        <w:tc>
          <w:tcPr>
            <w:tcW w:w="1276" w:type="dxa"/>
            <w:tcBorders>
              <w:top w:val="nil"/>
              <w:left w:val="nil"/>
              <w:bottom w:val="nil"/>
              <w:right w:val="nil"/>
            </w:tcBorders>
            <w:hideMark/>
          </w:tcPr>
          <w:p w14:paraId="58857C2A"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19</w:t>
            </w:r>
          </w:p>
        </w:tc>
        <w:tc>
          <w:tcPr>
            <w:tcW w:w="1606" w:type="dxa"/>
            <w:tcBorders>
              <w:top w:val="nil"/>
              <w:left w:val="nil"/>
              <w:bottom w:val="nil"/>
              <w:right w:val="nil"/>
            </w:tcBorders>
            <w:hideMark/>
          </w:tcPr>
          <w:p w14:paraId="13F92ABB"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3,5</w:t>
            </w:r>
          </w:p>
        </w:tc>
        <w:tc>
          <w:tcPr>
            <w:tcW w:w="1625" w:type="dxa"/>
            <w:tcBorders>
              <w:top w:val="nil"/>
              <w:left w:val="nil"/>
              <w:bottom w:val="nil"/>
              <w:right w:val="nil"/>
            </w:tcBorders>
            <w:hideMark/>
          </w:tcPr>
          <w:p w14:paraId="58E908BF"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20,12%</w:t>
            </w:r>
          </w:p>
        </w:tc>
      </w:tr>
      <w:tr w:rsidR="00792463" w:rsidRPr="008F1698" w14:paraId="4AF597E7" w14:textId="77777777" w:rsidTr="00792463">
        <w:trPr>
          <w:trHeight w:val="177"/>
        </w:trPr>
        <w:tc>
          <w:tcPr>
            <w:tcW w:w="4372" w:type="dxa"/>
            <w:tcBorders>
              <w:top w:val="nil"/>
              <w:left w:val="nil"/>
              <w:bottom w:val="nil"/>
              <w:right w:val="nil"/>
            </w:tcBorders>
            <w:hideMark/>
          </w:tcPr>
          <w:p w14:paraId="73AB17DA" w14:textId="77777777" w:rsidR="00792463" w:rsidRPr="008F1698" w:rsidRDefault="00792463" w:rsidP="00792463">
            <w:pPr>
              <w:ind w:right="56"/>
              <w:jc w:val="both"/>
              <w:rPr>
                <w:rFonts w:ascii="Times New Roman" w:hAnsi="Times New Roman" w:cs="Times New Roman"/>
                <w:sz w:val="20"/>
                <w:szCs w:val="20"/>
              </w:rPr>
            </w:pPr>
            <w:r w:rsidRPr="008F1698">
              <w:rPr>
                <w:rFonts w:ascii="Times New Roman" w:hAnsi="Times New Roman" w:cs="Times New Roman"/>
                <w:sz w:val="20"/>
                <w:szCs w:val="20"/>
              </w:rPr>
              <w:t>Rasa ingin tahu tentang playdoh</w:t>
            </w:r>
          </w:p>
        </w:tc>
        <w:tc>
          <w:tcPr>
            <w:tcW w:w="1298" w:type="dxa"/>
            <w:tcBorders>
              <w:top w:val="nil"/>
              <w:left w:val="nil"/>
              <w:bottom w:val="nil"/>
              <w:right w:val="nil"/>
            </w:tcBorders>
            <w:hideMark/>
          </w:tcPr>
          <w:p w14:paraId="05BEF0D2"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20,5</w:t>
            </w:r>
          </w:p>
        </w:tc>
        <w:tc>
          <w:tcPr>
            <w:tcW w:w="1276" w:type="dxa"/>
            <w:tcBorders>
              <w:top w:val="nil"/>
              <w:left w:val="nil"/>
              <w:bottom w:val="nil"/>
              <w:right w:val="nil"/>
            </w:tcBorders>
            <w:hideMark/>
          </w:tcPr>
          <w:p w14:paraId="09296E0D"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22</w:t>
            </w:r>
          </w:p>
        </w:tc>
        <w:tc>
          <w:tcPr>
            <w:tcW w:w="1606" w:type="dxa"/>
            <w:tcBorders>
              <w:top w:val="nil"/>
              <w:left w:val="nil"/>
              <w:bottom w:val="nil"/>
              <w:right w:val="nil"/>
            </w:tcBorders>
            <w:hideMark/>
          </w:tcPr>
          <w:p w14:paraId="156FA053"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1,5</w:t>
            </w:r>
          </w:p>
        </w:tc>
        <w:tc>
          <w:tcPr>
            <w:tcW w:w="1625" w:type="dxa"/>
            <w:tcBorders>
              <w:top w:val="nil"/>
              <w:left w:val="nil"/>
              <w:bottom w:val="nil"/>
              <w:right w:val="nil"/>
            </w:tcBorders>
            <w:hideMark/>
          </w:tcPr>
          <w:p w14:paraId="76663B15"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12,69%</w:t>
            </w:r>
          </w:p>
        </w:tc>
      </w:tr>
      <w:tr w:rsidR="00792463" w:rsidRPr="008F1698" w14:paraId="4BB76761" w14:textId="77777777" w:rsidTr="00792463">
        <w:trPr>
          <w:trHeight w:val="166"/>
        </w:trPr>
        <w:tc>
          <w:tcPr>
            <w:tcW w:w="4372" w:type="dxa"/>
            <w:tcBorders>
              <w:top w:val="nil"/>
              <w:left w:val="nil"/>
              <w:bottom w:val="nil"/>
              <w:right w:val="nil"/>
            </w:tcBorders>
            <w:hideMark/>
          </w:tcPr>
          <w:p w14:paraId="4AD15BC0" w14:textId="77777777" w:rsidR="00792463" w:rsidRPr="008F1698" w:rsidRDefault="00792463" w:rsidP="00792463">
            <w:pPr>
              <w:ind w:right="56"/>
              <w:jc w:val="both"/>
              <w:rPr>
                <w:rFonts w:ascii="Times New Roman" w:hAnsi="Times New Roman" w:cs="Times New Roman"/>
                <w:sz w:val="20"/>
                <w:szCs w:val="20"/>
              </w:rPr>
            </w:pPr>
            <w:r w:rsidRPr="008F1698">
              <w:rPr>
                <w:rFonts w:ascii="Times New Roman" w:hAnsi="Times New Roman" w:cs="Times New Roman"/>
                <w:sz w:val="20"/>
                <w:szCs w:val="20"/>
              </w:rPr>
              <w:t>Mencoba mengumpulkan informasi</w:t>
            </w:r>
          </w:p>
        </w:tc>
        <w:tc>
          <w:tcPr>
            <w:tcW w:w="1298" w:type="dxa"/>
            <w:tcBorders>
              <w:top w:val="nil"/>
              <w:left w:val="nil"/>
              <w:bottom w:val="nil"/>
              <w:right w:val="nil"/>
            </w:tcBorders>
            <w:hideMark/>
          </w:tcPr>
          <w:p w14:paraId="5CB99EA1"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18</w:t>
            </w:r>
          </w:p>
        </w:tc>
        <w:tc>
          <w:tcPr>
            <w:tcW w:w="1276" w:type="dxa"/>
            <w:tcBorders>
              <w:top w:val="nil"/>
              <w:left w:val="nil"/>
              <w:bottom w:val="nil"/>
              <w:right w:val="nil"/>
            </w:tcBorders>
            <w:hideMark/>
          </w:tcPr>
          <w:p w14:paraId="58076413"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19</w:t>
            </w:r>
          </w:p>
        </w:tc>
        <w:tc>
          <w:tcPr>
            <w:tcW w:w="1606" w:type="dxa"/>
            <w:tcBorders>
              <w:top w:val="nil"/>
              <w:left w:val="nil"/>
              <w:bottom w:val="nil"/>
              <w:right w:val="nil"/>
            </w:tcBorders>
            <w:hideMark/>
          </w:tcPr>
          <w:p w14:paraId="2E9701B9"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1</w:t>
            </w:r>
          </w:p>
        </w:tc>
        <w:tc>
          <w:tcPr>
            <w:tcW w:w="1625" w:type="dxa"/>
            <w:tcBorders>
              <w:top w:val="nil"/>
              <w:left w:val="nil"/>
              <w:bottom w:val="nil"/>
              <w:right w:val="nil"/>
            </w:tcBorders>
            <w:hideMark/>
          </w:tcPr>
          <w:p w14:paraId="7229E15B"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10,11%</w:t>
            </w:r>
          </w:p>
        </w:tc>
      </w:tr>
      <w:tr w:rsidR="00792463" w:rsidRPr="008F1698" w14:paraId="3340B347" w14:textId="77777777" w:rsidTr="00792463">
        <w:trPr>
          <w:trHeight w:val="674"/>
        </w:trPr>
        <w:tc>
          <w:tcPr>
            <w:tcW w:w="4372" w:type="dxa"/>
            <w:tcBorders>
              <w:top w:val="nil"/>
              <w:left w:val="nil"/>
              <w:bottom w:val="nil"/>
              <w:right w:val="nil"/>
            </w:tcBorders>
            <w:hideMark/>
          </w:tcPr>
          <w:p w14:paraId="5605CFE0" w14:textId="77777777" w:rsidR="00792463" w:rsidRPr="008F1698" w:rsidRDefault="00792463" w:rsidP="00792463">
            <w:pPr>
              <w:ind w:right="56"/>
              <w:jc w:val="both"/>
              <w:rPr>
                <w:rFonts w:ascii="Times New Roman" w:hAnsi="Times New Roman" w:cs="Times New Roman"/>
                <w:sz w:val="20"/>
                <w:szCs w:val="20"/>
              </w:rPr>
            </w:pPr>
            <w:r w:rsidRPr="008F1698">
              <w:rPr>
                <w:rFonts w:ascii="Times New Roman" w:hAnsi="Times New Roman" w:cs="Times New Roman"/>
                <w:sz w:val="20"/>
                <w:szCs w:val="20"/>
              </w:rPr>
              <w:t>Kegiatan anak dalam menalar, misalnya guru membuat bentuk dan anak mencoba menebak nama benda tersebut</w:t>
            </w:r>
          </w:p>
        </w:tc>
        <w:tc>
          <w:tcPr>
            <w:tcW w:w="1298" w:type="dxa"/>
            <w:tcBorders>
              <w:top w:val="nil"/>
              <w:left w:val="nil"/>
              <w:bottom w:val="nil"/>
              <w:right w:val="nil"/>
            </w:tcBorders>
            <w:hideMark/>
          </w:tcPr>
          <w:p w14:paraId="3804A3D6"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16</w:t>
            </w:r>
          </w:p>
        </w:tc>
        <w:tc>
          <w:tcPr>
            <w:tcW w:w="1276" w:type="dxa"/>
            <w:tcBorders>
              <w:top w:val="nil"/>
              <w:left w:val="nil"/>
              <w:bottom w:val="nil"/>
              <w:right w:val="nil"/>
            </w:tcBorders>
            <w:hideMark/>
          </w:tcPr>
          <w:p w14:paraId="250E0BF4"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20</w:t>
            </w:r>
          </w:p>
        </w:tc>
        <w:tc>
          <w:tcPr>
            <w:tcW w:w="1606" w:type="dxa"/>
            <w:tcBorders>
              <w:top w:val="nil"/>
              <w:left w:val="nil"/>
              <w:bottom w:val="nil"/>
              <w:right w:val="nil"/>
            </w:tcBorders>
            <w:hideMark/>
          </w:tcPr>
          <w:p w14:paraId="26ED66DC"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4</w:t>
            </w:r>
          </w:p>
        </w:tc>
        <w:tc>
          <w:tcPr>
            <w:tcW w:w="1625" w:type="dxa"/>
            <w:tcBorders>
              <w:top w:val="nil"/>
              <w:left w:val="nil"/>
              <w:bottom w:val="nil"/>
              <w:right w:val="nil"/>
            </w:tcBorders>
            <w:hideMark/>
          </w:tcPr>
          <w:p w14:paraId="7C8FC9E1"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22,89%</w:t>
            </w:r>
          </w:p>
        </w:tc>
      </w:tr>
      <w:tr w:rsidR="00792463" w:rsidRPr="008F1698" w14:paraId="757C678E" w14:textId="77777777" w:rsidTr="00792463">
        <w:trPr>
          <w:trHeight w:val="343"/>
        </w:trPr>
        <w:tc>
          <w:tcPr>
            <w:tcW w:w="4372" w:type="dxa"/>
            <w:tcBorders>
              <w:top w:val="nil"/>
              <w:left w:val="nil"/>
              <w:bottom w:val="nil"/>
              <w:right w:val="nil"/>
            </w:tcBorders>
            <w:hideMark/>
          </w:tcPr>
          <w:p w14:paraId="542A6C0E" w14:textId="77777777" w:rsidR="00792463" w:rsidRPr="008F1698" w:rsidRDefault="00792463" w:rsidP="00792463">
            <w:pPr>
              <w:ind w:right="56"/>
              <w:jc w:val="both"/>
              <w:rPr>
                <w:rFonts w:ascii="Times New Roman" w:hAnsi="Times New Roman" w:cs="Times New Roman"/>
                <w:sz w:val="20"/>
                <w:szCs w:val="20"/>
              </w:rPr>
            </w:pPr>
            <w:r w:rsidRPr="008F1698">
              <w:rPr>
                <w:rFonts w:ascii="Times New Roman" w:hAnsi="Times New Roman" w:cs="Times New Roman"/>
                <w:sz w:val="20"/>
                <w:szCs w:val="20"/>
              </w:rPr>
              <w:t>Dapat mengkomunikasikan tentang kegiatan yang sudah dikerjakan</w:t>
            </w:r>
          </w:p>
        </w:tc>
        <w:tc>
          <w:tcPr>
            <w:tcW w:w="1298" w:type="dxa"/>
            <w:tcBorders>
              <w:top w:val="nil"/>
              <w:left w:val="nil"/>
              <w:bottom w:val="nil"/>
              <w:right w:val="nil"/>
            </w:tcBorders>
            <w:hideMark/>
          </w:tcPr>
          <w:p w14:paraId="7A8036F0"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16</w:t>
            </w:r>
          </w:p>
        </w:tc>
        <w:tc>
          <w:tcPr>
            <w:tcW w:w="1276" w:type="dxa"/>
            <w:tcBorders>
              <w:top w:val="nil"/>
              <w:left w:val="nil"/>
              <w:bottom w:val="nil"/>
              <w:right w:val="nil"/>
            </w:tcBorders>
            <w:hideMark/>
          </w:tcPr>
          <w:p w14:paraId="23C89DEF"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20</w:t>
            </w:r>
          </w:p>
        </w:tc>
        <w:tc>
          <w:tcPr>
            <w:tcW w:w="1606" w:type="dxa"/>
            <w:tcBorders>
              <w:top w:val="nil"/>
              <w:left w:val="nil"/>
              <w:bottom w:val="nil"/>
              <w:right w:val="nil"/>
            </w:tcBorders>
            <w:hideMark/>
          </w:tcPr>
          <w:p w14:paraId="625FA054"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4</w:t>
            </w:r>
          </w:p>
        </w:tc>
        <w:tc>
          <w:tcPr>
            <w:tcW w:w="1625" w:type="dxa"/>
            <w:tcBorders>
              <w:top w:val="nil"/>
              <w:left w:val="nil"/>
              <w:bottom w:val="nil"/>
              <w:right w:val="nil"/>
            </w:tcBorders>
            <w:hideMark/>
          </w:tcPr>
          <w:p w14:paraId="0996B3CD"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22.3%</w:t>
            </w:r>
          </w:p>
        </w:tc>
      </w:tr>
      <w:tr w:rsidR="00792463" w:rsidRPr="008F1698" w14:paraId="741B1D04" w14:textId="77777777" w:rsidTr="00792463">
        <w:trPr>
          <w:trHeight w:val="343"/>
        </w:trPr>
        <w:tc>
          <w:tcPr>
            <w:tcW w:w="4372" w:type="dxa"/>
            <w:tcBorders>
              <w:top w:val="nil"/>
              <w:left w:val="nil"/>
              <w:bottom w:val="nil"/>
              <w:right w:val="nil"/>
            </w:tcBorders>
            <w:hideMark/>
          </w:tcPr>
          <w:p w14:paraId="409DB99B" w14:textId="77777777" w:rsidR="00792463" w:rsidRPr="008F1698" w:rsidRDefault="00792463" w:rsidP="00792463">
            <w:pPr>
              <w:ind w:right="56"/>
              <w:jc w:val="both"/>
              <w:rPr>
                <w:rFonts w:ascii="Times New Roman" w:hAnsi="Times New Roman" w:cs="Times New Roman"/>
                <w:sz w:val="20"/>
                <w:szCs w:val="20"/>
              </w:rPr>
            </w:pPr>
            <w:r w:rsidRPr="008F1698">
              <w:rPr>
                <w:rFonts w:ascii="Times New Roman" w:hAnsi="Times New Roman" w:cs="Times New Roman"/>
                <w:sz w:val="20"/>
                <w:szCs w:val="20"/>
              </w:rPr>
              <w:t>Antusias dalam mengerjakan tugas yang diberikan</w:t>
            </w:r>
          </w:p>
        </w:tc>
        <w:tc>
          <w:tcPr>
            <w:tcW w:w="1298" w:type="dxa"/>
            <w:tcBorders>
              <w:top w:val="nil"/>
              <w:left w:val="nil"/>
              <w:bottom w:val="nil"/>
              <w:right w:val="nil"/>
            </w:tcBorders>
            <w:hideMark/>
          </w:tcPr>
          <w:p w14:paraId="7DE6556F"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15,5</w:t>
            </w:r>
          </w:p>
        </w:tc>
        <w:tc>
          <w:tcPr>
            <w:tcW w:w="1276" w:type="dxa"/>
            <w:tcBorders>
              <w:top w:val="nil"/>
              <w:left w:val="nil"/>
              <w:bottom w:val="nil"/>
              <w:right w:val="nil"/>
            </w:tcBorders>
            <w:hideMark/>
          </w:tcPr>
          <w:p w14:paraId="08687345"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21,5</w:t>
            </w:r>
          </w:p>
        </w:tc>
        <w:tc>
          <w:tcPr>
            <w:tcW w:w="1606" w:type="dxa"/>
            <w:tcBorders>
              <w:top w:val="nil"/>
              <w:left w:val="nil"/>
              <w:bottom w:val="nil"/>
              <w:right w:val="nil"/>
            </w:tcBorders>
            <w:hideMark/>
          </w:tcPr>
          <w:p w14:paraId="2A1ADFEE"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6</w:t>
            </w:r>
          </w:p>
        </w:tc>
        <w:tc>
          <w:tcPr>
            <w:tcW w:w="1625" w:type="dxa"/>
            <w:tcBorders>
              <w:top w:val="nil"/>
              <w:left w:val="nil"/>
              <w:bottom w:val="nil"/>
              <w:right w:val="nil"/>
            </w:tcBorders>
            <w:hideMark/>
          </w:tcPr>
          <w:p w14:paraId="640D7A56"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31,58%</w:t>
            </w:r>
          </w:p>
        </w:tc>
      </w:tr>
      <w:tr w:rsidR="00792463" w:rsidRPr="008F1698" w14:paraId="7DB52E06" w14:textId="77777777" w:rsidTr="00792463">
        <w:trPr>
          <w:trHeight w:val="166"/>
        </w:trPr>
        <w:tc>
          <w:tcPr>
            <w:tcW w:w="4372" w:type="dxa"/>
            <w:tcBorders>
              <w:top w:val="nil"/>
              <w:left w:val="nil"/>
              <w:bottom w:val="nil"/>
              <w:right w:val="nil"/>
            </w:tcBorders>
            <w:hideMark/>
          </w:tcPr>
          <w:p w14:paraId="4F35123F" w14:textId="77777777" w:rsidR="00792463" w:rsidRPr="008F1698" w:rsidRDefault="00792463" w:rsidP="00792463">
            <w:pPr>
              <w:ind w:right="56"/>
              <w:jc w:val="both"/>
              <w:rPr>
                <w:rFonts w:ascii="Times New Roman" w:hAnsi="Times New Roman" w:cs="Times New Roman"/>
                <w:sz w:val="20"/>
                <w:szCs w:val="20"/>
              </w:rPr>
            </w:pPr>
            <w:r w:rsidRPr="008F1698">
              <w:rPr>
                <w:rFonts w:ascii="Times New Roman" w:hAnsi="Times New Roman" w:cs="Times New Roman"/>
                <w:sz w:val="20"/>
                <w:szCs w:val="20"/>
              </w:rPr>
              <w:t>Dapat bekerjasama dalam kelompok</w:t>
            </w:r>
          </w:p>
        </w:tc>
        <w:tc>
          <w:tcPr>
            <w:tcW w:w="1298" w:type="dxa"/>
            <w:tcBorders>
              <w:top w:val="nil"/>
              <w:left w:val="nil"/>
              <w:bottom w:val="nil"/>
              <w:right w:val="nil"/>
            </w:tcBorders>
            <w:hideMark/>
          </w:tcPr>
          <w:p w14:paraId="4209D507"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13,5</w:t>
            </w:r>
          </w:p>
        </w:tc>
        <w:tc>
          <w:tcPr>
            <w:tcW w:w="1276" w:type="dxa"/>
            <w:tcBorders>
              <w:top w:val="nil"/>
              <w:left w:val="nil"/>
              <w:bottom w:val="nil"/>
              <w:right w:val="nil"/>
            </w:tcBorders>
            <w:hideMark/>
          </w:tcPr>
          <w:p w14:paraId="0E3E34BA"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21,5</w:t>
            </w:r>
          </w:p>
        </w:tc>
        <w:tc>
          <w:tcPr>
            <w:tcW w:w="1606" w:type="dxa"/>
            <w:tcBorders>
              <w:top w:val="nil"/>
              <w:left w:val="nil"/>
              <w:bottom w:val="nil"/>
              <w:right w:val="nil"/>
            </w:tcBorders>
            <w:hideMark/>
          </w:tcPr>
          <w:p w14:paraId="03798C7B"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8</w:t>
            </w:r>
          </w:p>
        </w:tc>
        <w:tc>
          <w:tcPr>
            <w:tcW w:w="1625" w:type="dxa"/>
            <w:tcBorders>
              <w:top w:val="nil"/>
              <w:left w:val="nil"/>
              <w:bottom w:val="nil"/>
              <w:right w:val="nil"/>
            </w:tcBorders>
            <w:hideMark/>
          </w:tcPr>
          <w:p w14:paraId="690EF40B"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40,01%</w:t>
            </w:r>
          </w:p>
        </w:tc>
      </w:tr>
      <w:tr w:rsidR="00792463" w:rsidRPr="008F1698" w14:paraId="36172BE4" w14:textId="77777777" w:rsidTr="00792463">
        <w:trPr>
          <w:trHeight w:val="343"/>
        </w:trPr>
        <w:tc>
          <w:tcPr>
            <w:tcW w:w="4372" w:type="dxa"/>
            <w:tcBorders>
              <w:top w:val="nil"/>
              <w:left w:val="nil"/>
              <w:bottom w:val="nil"/>
              <w:right w:val="nil"/>
            </w:tcBorders>
            <w:hideMark/>
          </w:tcPr>
          <w:p w14:paraId="2AB388D4" w14:textId="77777777" w:rsidR="00792463" w:rsidRPr="008F1698" w:rsidRDefault="00792463" w:rsidP="00792463">
            <w:pPr>
              <w:ind w:right="56"/>
              <w:jc w:val="both"/>
              <w:rPr>
                <w:rFonts w:ascii="Times New Roman" w:hAnsi="Times New Roman" w:cs="Times New Roman"/>
                <w:sz w:val="20"/>
                <w:szCs w:val="20"/>
              </w:rPr>
            </w:pPr>
            <w:r w:rsidRPr="008F1698">
              <w:rPr>
                <w:rFonts w:ascii="Times New Roman" w:hAnsi="Times New Roman" w:cs="Times New Roman"/>
                <w:sz w:val="20"/>
                <w:szCs w:val="20"/>
              </w:rPr>
              <w:t>Aktif dalam mengikuti diskusi tentang kegiatan satu hari</w:t>
            </w:r>
          </w:p>
        </w:tc>
        <w:tc>
          <w:tcPr>
            <w:tcW w:w="1298" w:type="dxa"/>
            <w:tcBorders>
              <w:top w:val="nil"/>
              <w:left w:val="nil"/>
              <w:bottom w:val="nil"/>
              <w:right w:val="nil"/>
            </w:tcBorders>
            <w:hideMark/>
          </w:tcPr>
          <w:p w14:paraId="4494EF2D"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19</w:t>
            </w:r>
          </w:p>
        </w:tc>
        <w:tc>
          <w:tcPr>
            <w:tcW w:w="1276" w:type="dxa"/>
            <w:tcBorders>
              <w:top w:val="nil"/>
              <w:left w:val="nil"/>
              <w:bottom w:val="nil"/>
              <w:right w:val="nil"/>
            </w:tcBorders>
            <w:hideMark/>
          </w:tcPr>
          <w:p w14:paraId="20A87A1A"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20</w:t>
            </w:r>
          </w:p>
        </w:tc>
        <w:tc>
          <w:tcPr>
            <w:tcW w:w="1606" w:type="dxa"/>
            <w:tcBorders>
              <w:top w:val="nil"/>
              <w:left w:val="nil"/>
              <w:bottom w:val="nil"/>
              <w:right w:val="nil"/>
            </w:tcBorders>
            <w:hideMark/>
          </w:tcPr>
          <w:p w14:paraId="7A60E85F"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1</w:t>
            </w:r>
          </w:p>
        </w:tc>
        <w:tc>
          <w:tcPr>
            <w:tcW w:w="1625" w:type="dxa"/>
            <w:tcBorders>
              <w:top w:val="nil"/>
              <w:left w:val="nil"/>
              <w:bottom w:val="nil"/>
              <w:right w:val="nil"/>
            </w:tcBorders>
            <w:hideMark/>
          </w:tcPr>
          <w:p w14:paraId="72BF75CD"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10,12%</w:t>
            </w:r>
          </w:p>
        </w:tc>
      </w:tr>
      <w:tr w:rsidR="00792463" w:rsidRPr="008F1698" w14:paraId="775160A0" w14:textId="77777777" w:rsidTr="00792463">
        <w:trPr>
          <w:trHeight w:val="343"/>
        </w:trPr>
        <w:tc>
          <w:tcPr>
            <w:tcW w:w="4372" w:type="dxa"/>
            <w:tcBorders>
              <w:top w:val="nil"/>
              <w:left w:val="nil"/>
              <w:bottom w:val="single" w:sz="4" w:space="0" w:color="auto"/>
              <w:right w:val="nil"/>
            </w:tcBorders>
            <w:hideMark/>
          </w:tcPr>
          <w:p w14:paraId="31FB8B64" w14:textId="77777777" w:rsidR="00792463" w:rsidRPr="008F1698" w:rsidRDefault="00792463" w:rsidP="00792463">
            <w:pPr>
              <w:ind w:right="56"/>
              <w:jc w:val="both"/>
              <w:rPr>
                <w:rFonts w:ascii="Times New Roman" w:hAnsi="Times New Roman" w:cs="Times New Roman"/>
                <w:sz w:val="20"/>
                <w:szCs w:val="20"/>
              </w:rPr>
            </w:pPr>
            <w:r w:rsidRPr="008F1698">
              <w:rPr>
                <w:rFonts w:ascii="Times New Roman" w:hAnsi="Times New Roman" w:cs="Times New Roman"/>
                <w:sz w:val="20"/>
                <w:szCs w:val="20"/>
              </w:rPr>
              <w:t>Mengikuti kegiatan berdoa setelah selesai belajar</w:t>
            </w:r>
          </w:p>
        </w:tc>
        <w:tc>
          <w:tcPr>
            <w:tcW w:w="1298" w:type="dxa"/>
            <w:tcBorders>
              <w:top w:val="nil"/>
              <w:left w:val="nil"/>
              <w:bottom w:val="single" w:sz="4" w:space="0" w:color="auto"/>
              <w:right w:val="nil"/>
            </w:tcBorders>
            <w:hideMark/>
          </w:tcPr>
          <w:p w14:paraId="1A1F52B2"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21</w:t>
            </w:r>
          </w:p>
        </w:tc>
        <w:tc>
          <w:tcPr>
            <w:tcW w:w="1276" w:type="dxa"/>
            <w:tcBorders>
              <w:top w:val="nil"/>
              <w:left w:val="nil"/>
              <w:bottom w:val="single" w:sz="4" w:space="0" w:color="auto"/>
              <w:right w:val="nil"/>
            </w:tcBorders>
            <w:hideMark/>
          </w:tcPr>
          <w:p w14:paraId="3EB44890"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22</w:t>
            </w:r>
          </w:p>
        </w:tc>
        <w:tc>
          <w:tcPr>
            <w:tcW w:w="1606" w:type="dxa"/>
            <w:tcBorders>
              <w:top w:val="nil"/>
              <w:left w:val="nil"/>
              <w:bottom w:val="single" w:sz="4" w:space="0" w:color="auto"/>
              <w:right w:val="nil"/>
            </w:tcBorders>
            <w:hideMark/>
          </w:tcPr>
          <w:p w14:paraId="2550843F"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1</w:t>
            </w:r>
          </w:p>
        </w:tc>
        <w:tc>
          <w:tcPr>
            <w:tcW w:w="1625" w:type="dxa"/>
            <w:tcBorders>
              <w:top w:val="nil"/>
              <w:left w:val="nil"/>
              <w:bottom w:val="single" w:sz="4" w:space="0" w:color="auto"/>
              <w:right w:val="nil"/>
            </w:tcBorders>
            <w:hideMark/>
          </w:tcPr>
          <w:p w14:paraId="1CEE26C0"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10,42%</w:t>
            </w:r>
          </w:p>
        </w:tc>
      </w:tr>
    </w:tbl>
    <w:p w14:paraId="07F4C1E8" w14:textId="77777777" w:rsidR="00792463" w:rsidRPr="008F1698" w:rsidRDefault="00792463" w:rsidP="00792463">
      <w:pPr>
        <w:spacing w:after="0" w:line="240" w:lineRule="auto"/>
        <w:ind w:right="56"/>
        <w:jc w:val="both"/>
        <w:rPr>
          <w:rFonts w:ascii="Times New Roman" w:hAnsi="Times New Roman" w:cs="Times New Roman"/>
        </w:rPr>
      </w:pPr>
    </w:p>
    <w:p w14:paraId="53BF846C" w14:textId="77777777" w:rsidR="00792463" w:rsidRPr="008F1698" w:rsidRDefault="00792463" w:rsidP="00792463">
      <w:pPr>
        <w:spacing w:after="0" w:line="240" w:lineRule="auto"/>
        <w:ind w:right="56" w:firstLine="567"/>
        <w:jc w:val="both"/>
        <w:rPr>
          <w:rFonts w:ascii="Times New Roman" w:hAnsi="Times New Roman" w:cs="Times New Roman"/>
        </w:rPr>
      </w:pPr>
      <w:r w:rsidRPr="008F1698">
        <w:rPr>
          <w:rFonts w:ascii="Times New Roman" w:hAnsi="Times New Roman" w:cs="Times New Roman"/>
        </w:rPr>
        <w:t>Berdasarkan tabel 4.10 menunjukan bahwa setiap aktivitas anak selama proses pembelajaran meningkat dari siklus I ke siklus II. Peningkatan terlihat pada aktivitas mengikuti kegiatan berdoa sebelum kegiatan (17,75%), aktif dalam kegiatan percakapan (33,32%), mengikuti kegiatan motorik kasar dengan antusias (10,6%), anak antusias dalam mengamati playdoh yang ditunjukan guru (16,64%), aktif dalam bertanya (20,12%), aktif dalam menjawab pertanyaan (20,12%), rasa ingin tahu tentang playdoh (12,69%), mencoba mengumpulkan informasi (10,11%), kegiatan anak dalam menalar, misalnya guru membuat bentuk dan anak mencoba menebak nama benda tersebut (22,89%), dapat mengkomunikasikan tentang kegiatan yang sudah dikerjakan (22,3%), antusias dalam mengerjakan tugas yang diberikan (31,58%), dapat bekerjasama dalam kelompok (40,01%), aktif dalam mengikuti diskusi tentang kegiatan satu hari (10,12%).</w:t>
      </w:r>
    </w:p>
    <w:p w14:paraId="75480457" w14:textId="77777777" w:rsidR="00792463" w:rsidRPr="008F1698" w:rsidRDefault="00792463" w:rsidP="00792463">
      <w:pPr>
        <w:spacing w:after="0" w:line="240" w:lineRule="auto"/>
        <w:ind w:right="56" w:firstLine="567"/>
        <w:jc w:val="both"/>
        <w:rPr>
          <w:rFonts w:ascii="Times New Roman" w:hAnsi="Times New Roman" w:cs="Times New Roman"/>
        </w:rPr>
      </w:pPr>
      <w:r w:rsidRPr="008F1698">
        <w:rPr>
          <w:rFonts w:ascii="Times New Roman" w:hAnsi="Times New Roman" w:cs="Times New Roman"/>
        </w:rPr>
        <w:t>Permainan playdoh dapat meningkatkan kreativitas anak juga hasil belajarnya, terlihat dari peningkatan enam lingkup perkembangan anak mulai dari lingkup perkembangan nilai agama dan moral, sosial emosional, kognitif, bahasa, fisik motorik, dan seni. Peningkatan kreativitas anak pada siklus I dan II dapat dilihat pada Tabel 3.</w:t>
      </w:r>
    </w:p>
    <w:p w14:paraId="66DB6707" w14:textId="77777777" w:rsidR="00792463" w:rsidRPr="008F1698" w:rsidRDefault="00792463" w:rsidP="00792463">
      <w:pPr>
        <w:spacing w:after="0" w:line="240" w:lineRule="auto"/>
        <w:ind w:right="56" w:firstLine="567"/>
        <w:jc w:val="both"/>
        <w:rPr>
          <w:rFonts w:ascii="Times New Roman" w:hAnsi="Times New Roman" w:cs="Times New Roman"/>
        </w:rPr>
      </w:pPr>
    </w:p>
    <w:p w14:paraId="0A0C6744" w14:textId="77777777" w:rsidR="00792463" w:rsidRPr="008F1698" w:rsidRDefault="00792463" w:rsidP="00792463">
      <w:pPr>
        <w:spacing w:after="0" w:line="240" w:lineRule="auto"/>
        <w:ind w:right="56"/>
        <w:jc w:val="both"/>
        <w:rPr>
          <w:rFonts w:ascii="Times New Roman" w:hAnsi="Times New Roman" w:cs="Times New Roman"/>
          <w:b/>
          <w:sz w:val="20"/>
          <w:szCs w:val="20"/>
        </w:rPr>
      </w:pPr>
      <w:r w:rsidRPr="008F1698">
        <w:rPr>
          <w:rFonts w:ascii="Times New Roman" w:hAnsi="Times New Roman" w:cs="Times New Roman"/>
          <w:b/>
          <w:sz w:val="20"/>
          <w:szCs w:val="20"/>
        </w:rPr>
        <w:t>Tabel 3 Rekapitulasi Peningkatan Kreativitas Anak dalam 6 lingkup perkembangan</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1"/>
        <w:gridCol w:w="3410"/>
        <w:gridCol w:w="3410"/>
      </w:tblGrid>
      <w:tr w:rsidR="00792463" w:rsidRPr="008F1698" w14:paraId="65D6D573" w14:textId="77777777" w:rsidTr="00792463">
        <w:trPr>
          <w:trHeight w:val="273"/>
        </w:trPr>
        <w:tc>
          <w:tcPr>
            <w:tcW w:w="3301" w:type="dxa"/>
            <w:tcBorders>
              <w:top w:val="single" w:sz="4" w:space="0" w:color="auto"/>
              <w:bottom w:val="single" w:sz="4" w:space="0" w:color="auto"/>
            </w:tcBorders>
            <w:vAlign w:val="center"/>
            <w:hideMark/>
          </w:tcPr>
          <w:p w14:paraId="18E24883" w14:textId="77777777" w:rsidR="00792463" w:rsidRPr="008F1698" w:rsidRDefault="00792463" w:rsidP="00792463">
            <w:pPr>
              <w:ind w:right="56"/>
              <w:jc w:val="center"/>
              <w:rPr>
                <w:rFonts w:ascii="Times New Roman" w:hAnsi="Times New Roman" w:cs="Times New Roman"/>
                <w:b/>
                <w:sz w:val="20"/>
                <w:szCs w:val="20"/>
              </w:rPr>
            </w:pPr>
            <w:r w:rsidRPr="008F1698">
              <w:rPr>
                <w:rFonts w:ascii="Times New Roman" w:hAnsi="Times New Roman" w:cs="Times New Roman"/>
                <w:b/>
                <w:sz w:val="20"/>
                <w:szCs w:val="20"/>
              </w:rPr>
              <w:t>Kegiatan</w:t>
            </w:r>
          </w:p>
        </w:tc>
        <w:tc>
          <w:tcPr>
            <w:tcW w:w="3410" w:type="dxa"/>
            <w:tcBorders>
              <w:top w:val="single" w:sz="4" w:space="0" w:color="auto"/>
              <w:bottom w:val="single" w:sz="4" w:space="0" w:color="auto"/>
            </w:tcBorders>
            <w:vAlign w:val="center"/>
            <w:hideMark/>
          </w:tcPr>
          <w:p w14:paraId="3C0494E5" w14:textId="77777777" w:rsidR="00792463" w:rsidRPr="008F1698" w:rsidRDefault="00792463" w:rsidP="00792463">
            <w:pPr>
              <w:ind w:right="56"/>
              <w:jc w:val="center"/>
              <w:rPr>
                <w:rFonts w:ascii="Times New Roman" w:hAnsi="Times New Roman" w:cs="Times New Roman"/>
                <w:b/>
                <w:sz w:val="20"/>
                <w:szCs w:val="20"/>
              </w:rPr>
            </w:pPr>
            <w:r w:rsidRPr="008F1698">
              <w:rPr>
                <w:rFonts w:ascii="Times New Roman" w:hAnsi="Times New Roman" w:cs="Times New Roman"/>
                <w:b/>
                <w:sz w:val="20"/>
                <w:szCs w:val="20"/>
              </w:rPr>
              <w:t>Skor rata-rata</w:t>
            </w:r>
          </w:p>
        </w:tc>
        <w:tc>
          <w:tcPr>
            <w:tcW w:w="3410" w:type="dxa"/>
            <w:tcBorders>
              <w:top w:val="single" w:sz="4" w:space="0" w:color="auto"/>
              <w:bottom w:val="single" w:sz="4" w:space="0" w:color="auto"/>
            </w:tcBorders>
            <w:vAlign w:val="center"/>
            <w:hideMark/>
          </w:tcPr>
          <w:p w14:paraId="16D0DDBA" w14:textId="77777777" w:rsidR="00792463" w:rsidRPr="008F1698" w:rsidRDefault="00792463" w:rsidP="00792463">
            <w:pPr>
              <w:ind w:right="56"/>
              <w:jc w:val="center"/>
              <w:rPr>
                <w:rFonts w:ascii="Times New Roman" w:hAnsi="Times New Roman" w:cs="Times New Roman"/>
                <w:b/>
                <w:sz w:val="20"/>
                <w:szCs w:val="20"/>
              </w:rPr>
            </w:pPr>
            <w:r w:rsidRPr="008F1698">
              <w:rPr>
                <w:rFonts w:ascii="Times New Roman" w:hAnsi="Times New Roman" w:cs="Times New Roman"/>
                <w:b/>
                <w:sz w:val="20"/>
                <w:szCs w:val="20"/>
              </w:rPr>
              <w:t>Peningkatan (%)</w:t>
            </w:r>
          </w:p>
        </w:tc>
      </w:tr>
      <w:tr w:rsidR="00792463" w:rsidRPr="008F1698" w14:paraId="177F9FF9" w14:textId="77777777" w:rsidTr="00792463">
        <w:trPr>
          <w:trHeight w:val="257"/>
        </w:trPr>
        <w:tc>
          <w:tcPr>
            <w:tcW w:w="3301" w:type="dxa"/>
            <w:tcBorders>
              <w:top w:val="single" w:sz="4" w:space="0" w:color="auto"/>
            </w:tcBorders>
            <w:vAlign w:val="center"/>
            <w:hideMark/>
          </w:tcPr>
          <w:p w14:paraId="7DC79569"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Pra tindakan</w:t>
            </w:r>
          </w:p>
        </w:tc>
        <w:tc>
          <w:tcPr>
            <w:tcW w:w="3410" w:type="dxa"/>
            <w:tcBorders>
              <w:top w:val="single" w:sz="4" w:space="0" w:color="auto"/>
            </w:tcBorders>
            <w:vAlign w:val="center"/>
            <w:hideMark/>
          </w:tcPr>
          <w:p w14:paraId="6CBBC7EA"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37,49%</w:t>
            </w:r>
          </w:p>
        </w:tc>
        <w:tc>
          <w:tcPr>
            <w:tcW w:w="3410" w:type="dxa"/>
            <w:tcBorders>
              <w:top w:val="single" w:sz="4" w:space="0" w:color="auto"/>
            </w:tcBorders>
            <w:vAlign w:val="center"/>
            <w:hideMark/>
          </w:tcPr>
          <w:p w14:paraId="7AF15610"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w:t>
            </w:r>
          </w:p>
        </w:tc>
      </w:tr>
      <w:tr w:rsidR="00792463" w:rsidRPr="008F1698" w14:paraId="2A65B43E" w14:textId="77777777" w:rsidTr="00792463">
        <w:trPr>
          <w:trHeight w:val="273"/>
        </w:trPr>
        <w:tc>
          <w:tcPr>
            <w:tcW w:w="3301" w:type="dxa"/>
            <w:vAlign w:val="center"/>
            <w:hideMark/>
          </w:tcPr>
          <w:p w14:paraId="1628C630"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Siklus I</w:t>
            </w:r>
          </w:p>
        </w:tc>
        <w:tc>
          <w:tcPr>
            <w:tcW w:w="3410" w:type="dxa"/>
            <w:vAlign w:val="center"/>
            <w:hideMark/>
          </w:tcPr>
          <w:p w14:paraId="3547D1CA"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83,49%</w:t>
            </w:r>
          </w:p>
        </w:tc>
        <w:tc>
          <w:tcPr>
            <w:tcW w:w="3410" w:type="dxa"/>
            <w:vAlign w:val="center"/>
            <w:hideMark/>
          </w:tcPr>
          <w:p w14:paraId="1F480E9F"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46%</w:t>
            </w:r>
          </w:p>
        </w:tc>
      </w:tr>
      <w:tr w:rsidR="00792463" w:rsidRPr="008F1698" w14:paraId="108F7EC9" w14:textId="77777777" w:rsidTr="00792463">
        <w:trPr>
          <w:trHeight w:val="273"/>
        </w:trPr>
        <w:tc>
          <w:tcPr>
            <w:tcW w:w="3301" w:type="dxa"/>
            <w:vAlign w:val="center"/>
            <w:hideMark/>
          </w:tcPr>
          <w:p w14:paraId="1AC07722"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Siklus II</w:t>
            </w:r>
          </w:p>
        </w:tc>
        <w:tc>
          <w:tcPr>
            <w:tcW w:w="3410" w:type="dxa"/>
            <w:vAlign w:val="center"/>
            <w:hideMark/>
          </w:tcPr>
          <w:p w14:paraId="64A70733"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100%</w:t>
            </w:r>
          </w:p>
        </w:tc>
        <w:tc>
          <w:tcPr>
            <w:tcW w:w="3410" w:type="dxa"/>
            <w:vAlign w:val="center"/>
            <w:hideMark/>
          </w:tcPr>
          <w:p w14:paraId="76CC240A" w14:textId="77777777" w:rsidR="00792463" w:rsidRPr="008F1698" w:rsidRDefault="00792463" w:rsidP="00792463">
            <w:pPr>
              <w:ind w:right="56"/>
              <w:jc w:val="center"/>
              <w:rPr>
                <w:rFonts w:ascii="Times New Roman" w:hAnsi="Times New Roman" w:cs="Times New Roman"/>
                <w:sz w:val="20"/>
                <w:szCs w:val="20"/>
              </w:rPr>
            </w:pPr>
            <w:r w:rsidRPr="008F1698">
              <w:rPr>
                <w:rFonts w:ascii="Times New Roman" w:hAnsi="Times New Roman" w:cs="Times New Roman"/>
                <w:sz w:val="20"/>
                <w:szCs w:val="20"/>
              </w:rPr>
              <w:t>16,51%</w:t>
            </w:r>
          </w:p>
        </w:tc>
      </w:tr>
    </w:tbl>
    <w:p w14:paraId="6BFF8EE7" w14:textId="77777777" w:rsidR="00792463" w:rsidRPr="008F1698" w:rsidRDefault="00792463" w:rsidP="00792463">
      <w:pPr>
        <w:spacing w:after="0" w:line="240" w:lineRule="auto"/>
        <w:ind w:right="56"/>
        <w:jc w:val="both"/>
        <w:rPr>
          <w:rFonts w:ascii="Times New Roman" w:hAnsi="Times New Roman" w:cs="Times New Roman"/>
          <w:sz w:val="20"/>
          <w:szCs w:val="20"/>
        </w:rPr>
      </w:pPr>
    </w:p>
    <w:p w14:paraId="73A519BB" w14:textId="6E30AB4A" w:rsidR="007459FA" w:rsidRPr="008F4E01" w:rsidRDefault="00792463" w:rsidP="008F4E01">
      <w:pPr>
        <w:spacing w:after="0" w:line="240" w:lineRule="auto"/>
        <w:ind w:right="56" w:firstLine="720"/>
        <w:jc w:val="both"/>
        <w:rPr>
          <w:rFonts w:ascii="Times New Roman" w:hAnsi="Times New Roman" w:cs="Times New Roman"/>
        </w:rPr>
      </w:pPr>
      <w:r w:rsidRPr="008F1698">
        <w:rPr>
          <w:rFonts w:ascii="Times New Roman" w:hAnsi="Times New Roman" w:cs="Times New Roman"/>
        </w:rPr>
        <w:lastRenderedPageBreak/>
        <w:t xml:space="preserve">Tabel 3 menunjukan bahwa ditemukan peningkatan pada skor rata-rata. Peningkatan tersebut dibandingkan pada kreativitas sebelum dilakukan penelitian diperoleh 37,49%, nilai yang sangat kurang karena tidak sampai setengah dari jumlah total anak-anak di kelas, tapi seteleah dikondisikan dengan permainan playdoh, bisa dilihat pada siklus I peningkatan yang signifikan karena hampir 50%, yaitu 46% dengan skor rata-rata adalah 83,49%. Sedangkan pada siklus II meningkat 16,51% menjadi skor rata-rata 100%. </w:t>
      </w:r>
      <w:proofErr w:type="gramStart"/>
      <w:r w:rsidRPr="008F1698">
        <w:rPr>
          <w:rFonts w:ascii="Times New Roman" w:hAnsi="Times New Roman" w:cs="Times New Roman"/>
        </w:rPr>
        <w:t>Dengan demikian dapat disimpulkan bahwa penggunaan playdoh untuk meningkatkan kreativitas anak pada siklus I dan II dinyatakan tuntas.</w:t>
      </w:r>
      <w:bookmarkStart w:id="0" w:name="_GoBack"/>
      <w:bookmarkEnd w:id="0"/>
      <w:proofErr w:type="gramEnd"/>
    </w:p>
    <w:sectPr w:rsidR="007459FA" w:rsidRPr="008F4E01" w:rsidSect="008C6013">
      <w:pgSz w:w="11906" w:h="16838"/>
      <w:pgMar w:top="1106" w:right="822" w:bottom="2268" w:left="82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374F0"/>
    <w:multiLevelType w:val="hybridMultilevel"/>
    <w:tmpl w:val="A4B66EDA"/>
    <w:lvl w:ilvl="0" w:tplc="02C82E0E">
      <w:start w:val="1"/>
      <w:numFmt w:val="upperLetter"/>
      <w:lvlText w:val="%1."/>
      <w:lvlJc w:val="left"/>
      <w:pPr>
        <w:ind w:left="720" w:hanging="360"/>
      </w:pPr>
      <w:rPr>
        <w:b/>
      </w:rPr>
    </w:lvl>
    <w:lvl w:ilvl="1" w:tplc="BA7486F6">
      <w:start w:val="1"/>
      <w:numFmt w:val="lowerLetter"/>
      <w:lvlText w:val="%2."/>
      <w:lvlJc w:val="left"/>
      <w:pPr>
        <w:ind w:left="1440" w:hanging="360"/>
      </w:pPr>
      <w:rPr>
        <w:b/>
      </w:rPr>
    </w:lvl>
    <w:lvl w:ilvl="2" w:tplc="0421001B">
      <w:start w:val="1"/>
      <w:numFmt w:val="lowerRoman"/>
      <w:lvlText w:val="%3."/>
      <w:lvlJc w:val="right"/>
      <w:pPr>
        <w:ind w:left="2160" w:hanging="180"/>
      </w:pPr>
    </w:lvl>
    <w:lvl w:ilvl="3" w:tplc="C1D6D69E">
      <w:start w:val="1"/>
      <w:numFmt w:val="decimal"/>
      <w:lvlText w:val="%4."/>
      <w:lvlJc w:val="left"/>
      <w:pPr>
        <w:ind w:left="2880" w:hanging="360"/>
      </w:pPr>
      <w:rPr>
        <w:rFonts w:ascii="Times New Roman" w:eastAsia="Arial" w:hAnsi="Times New Roman" w:cs="Times New Roman"/>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6C41372A"/>
    <w:multiLevelType w:val="hybridMultilevel"/>
    <w:tmpl w:val="9DF43922"/>
    <w:lvl w:ilvl="0" w:tplc="15828BC6">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013"/>
    <w:rsid w:val="00012F72"/>
    <w:rsid w:val="000842B8"/>
    <w:rsid w:val="00092BAE"/>
    <w:rsid w:val="000E76DC"/>
    <w:rsid w:val="0018275F"/>
    <w:rsid w:val="005163C9"/>
    <w:rsid w:val="00594263"/>
    <w:rsid w:val="006646C0"/>
    <w:rsid w:val="006843C8"/>
    <w:rsid w:val="006B1041"/>
    <w:rsid w:val="007459FA"/>
    <w:rsid w:val="00792463"/>
    <w:rsid w:val="007C7356"/>
    <w:rsid w:val="007D4FE9"/>
    <w:rsid w:val="008B6BA4"/>
    <w:rsid w:val="008C6013"/>
    <w:rsid w:val="008F1698"/>
    <w:rsid w:val="008F4E01"/>
    <w:rsid w:val="00AB1308"/>
    <w:rsid w:val="00B52D25"/>
    <w:rsid w:val="00CD1E8E"/>
    <w:rsid w:val="00EA2495"/>
    <w:rsid w:val="00F11AD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2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6013"/>
    <w:rPr>
      <w:color w:val="0563C1" w:themeColor="hyperlink"/>
      <w:u w:val="single"/>
    </w:rPr>
  </w:style>
  <w:style w:type="paragraph" w:styleId="ListParagraph">
    <w:name w:val="List Paragraph"/>
    <w:basedOn w:val="Normal"/>
    <w:uiPriority w:val="34"/>
    <w:qFormat/>
    <w:rsid w:val="005163C9"/>
    <w:pPr>
      <w:spacing w:after="200" w:line="276" w:lineRule="auto"/>
      <w:ind w:left="720"/>
      <w:contextualSpacing/>
    </w:pPr>
  </w:style>
  <w:style w:type="table" w:styleId="TableGrid">
    <w:name w:val="Table Grid"/>
    <w:basedOn w:val="TableNormal"/>
    <w:uiPriority w:val="59"/>
    <w:rsid w:val="00516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163C9"/>
    <w:pPr>
      <w:spacing w:after="0" w:line="240" w:lineRule="auto"/>
    </w:pPr>
  </w:style>
  <w:style w:type="paragraph" w:styleId="BalloonText">
    <w:name w:val="Balloon Text"/>
    <w:basedOn w:val="Normal"/>
    <w:link w:val="BalloonTextChar"/>
    <w:uiPriority w:val="99"/>
    <w:semiHidden/>
    <w:unhideWhenUsed/>
    <w:rsid w:val="00EA2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495"/>
    <w:rPr>
      <w:rFonts w:ascii="Tahoma" w:hAnsi="Tahoma" w:cs="Tahoma"/>
      <w:sz w:val="16"/>
      <w:szCs w:val="16"/>
    </w:rPr>
  </w:style>
  <w:style w:type="character" w:customStyle="1" w:styleId="UnresolvedMention">
    <w:name w:val="Unresolved Mention"/>
    <w:basedOn w:val="DefaultParagraphFont"/>
    <w:uiPriority w:val="99"/>
    <w:semiHidden/>
    <w:unhideWhenUsed/>
    <w:rsid w:val="008B6BA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6013"/>
    <w:rPr>
      <w:color w:val="0563C1" w:themeColor="hyperlink"/>
      <w:u w:val="single"/>
    </w:rPr>
  </w:style>
  <w:style w:type="paragraph" w:styleId="ListParagraph">
    <w:name w:val="List Paragraph"/>
    <w:basedOn w:val="Normal"/>
    <w:uiPriority w:val="34"/>
    <w:qFormat/>
    <w:rsid w:val="005163C9"/>
    <w:pPr>
      <w:spacing w:after="200" w:line="276" w:lineRule="auto"/>
      <w:ind w:left="720"/>
      <w:contextualSpacing/>
    </w:pPr>
  </w:style>
  <w:style w:type="table" w:styleId="TableGrid">
    <w:name w:val="Table Grid"/>
    <w:basedOn w:val="TableNormal"/>
    <w:uiPriority w:val="59"/>
    <w:rsid w:val="00516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163C9"/>
    <w:pPr>
      <w:spacing w:after="0" w:line="240" w:lineRule="auto"/>
    </w:pPr>
  </w:style>
  <w:style w:type="paragraph" w:styleId="BalloonText">
    <w:name w:val="Balloon Text"/>
    <w:basedOn w:val="Normal"/>
    <w:link w:val="BalloonTextChar"/>
    <w:uiPriority w:val="99"/>
    <w:semiHidden/>
    <w:unhideWhenUsed/>
    <w:rsid w:val="00EA2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495"/>
    <w:rPr>
      <w:rFonts w:ascii="Tahoma" w:hAnsi="Tahoma" w:cs="Tahoma"/>
      <w:sz w:val="16"/>
      <w:szCs w:val="16"/>
    </w:rPr>
  </w:style>
  <w:style w:type="character" w:customStyle="1" w:styleId="UnresolvedMention">
    <w:name w:val="Unresolved Mention"/>
    <w:basedOn w:val="DefaultParagraphFont"/>
    <w:uiPriority w:val="99"/>
    <w:semiHidden/>
    <w:unhideWhenUsed/>
    <w:rsid w:val="008B6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08569">
      <w:bodyDiv w:val="1"/>
      <w:marLeft w:val="0"/>
      <w:marRight w:val="0"/>
      <w:marTop w:val="0"/>
      <w:marBottom w:val="0"/>
      <w:divBdr>
        <w:top w:val="none" w:sz="0" w:space="0" w:color="auto"/>
        <w:left w:val="none" w:sz="0" w:space="0" w:color="auto"/>
        <w:bottom w:val="none" w:sz="0" w:space="0" w:color="auto"/>
        <w:right w:val="none" w:sz="0" w:space="0" w:color="auto"/>
      </w:divBdr>
    </w:div>
    <w:div w:id="258568724">
      <w:bodyDiv w:val="1"/>
      <w:marLeft w:val="0"/>
      <w:marRight w:val="0"/>
      <w:marTop w:val="0"/>
      <w:marBottom w:val="0"/>
      <w:divBdr>
        <w:top w:val="none" w:sz="0" w:space="0" w:color="auto"/>
        <w:left w:val="none" w:sz="0" w:space="0" w:color="auto"/>
        <w:bottom w:val="none" w:sz="0" w:space="0" w:color="auto"/>
        <w:right w:val="none" w:sz="0" w:space="0" w:color="auto"/>
      </w:divBdr>
    </w:div>
    <w:div w:id="999767505">
      <w:bodyDiv w:val="1"/>
      <w:marLeft w:val="0"/>
      <w:marRight w:val="0"/>
      <w:marTop w:val="0"/>
      <w:marBottom w:val="0"/>
      <w:divBdr>
        <w:top w:val="none" w:sz="0" w:space="0" w:color="auto"/>
        <w:left w:val="none" w:sz="0" w:space="0" w:color="auto"/>
        <w:bottom w:val="none" w:sz="0" w:space="0" w:color="auto"/>
        <w:right w:val="none" w:sz="0" w:space="0" w:color="auto"/>
      </w:divBdr>
    </w:div>
    <w:div w:id="1117915943">
      <w:bodyDiv w:val="1"/>
      <w:marLeft w:val="0"/>
      <w:marRight w:val="0"/>
      <w:marTop w:val="0"/>
      <w:marBottom w:val="0"/>
      <w:divBdr>
        <w:top w:val="none" w:sz="0" w:space="0" w:color="auto"/>
        <w:left w:val="none" w:sz="0" w:space="0" w:color="auto"/>
        <w:bottom w:val="none" w:sz="0" w:space="0" w:color="auto"/>
        <w:right w:val="none" w:sz="0" w:space="0" w:color="auto"/>
      </w:divBdr>
    </w:div>
    <w:div w:id="178423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7BA57-1C2D-4964-8730-3A37E38FB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cp:revision>
  <dcterms:created xsi:type="dcterms:W3CDTF">2020-11-23T13:04:00Z</dcterms:created>
  <dcterms:modified xsi:type="dcterms:W3CDTF">2020-11-23T13:04:00Z</dcterms:modified>
</cp:coreProperties>
</file>